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right" w:pos="8280"/>
        </w:tabs>
        <w:jc w:val="center"/>
        <w:rPr>
          <w:rFonts w:ascii="宋体" w:hAnsi="宋体" w:eastAsia="宋体" w:cs="Calibri"/>
          <w:sz w:val="36"/>
          <w:szCs w:val="36"/>
        </w:rPr>
      </w:pPr>
      <w:r>
        <w:rPr>
          <w:rFonts w:hint="eastAsia" w:ascii="宋体" w:hAnsi="宋体" w:eastAsia="宋体" w:cs="Calibri"/>
          <w:sz w:val="36"/>
          <w:szCs w:val="36"/>
        </w:rPr>
        <w:t>购买安装服务协议</w:t>
      </w:r>
    </w:p>
    <w:p>
      <w:pPr>
        <w:spacing w:line="400" w:lineRule="exact"/>
        <w:jc w:val="center"/>
        <w:rPr>
          <w:rFonts w:ascii="宋体" w:hAnsi="宋体" w:eastAsia="宋体" w:cs="Calibri"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eastAsia="宋体" w:cs="Calibri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协议编号：</w:t>
      </w:r>
    </w:p>
    <w:p>
      <w:pPr>
        <w:spacing w:line="400" w:lineRule="exact"/>
        <w:jc w:val="center"/>
        <w:rPr>
          <w:rFonts w:ascii="宋体" w:hAnsi="宋体" w:eastAsia="宋体" w:cs="Calibri"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甲方：</w:t>
      </w:r>
      <w:permStart w:id="0" w:edGrp="everyone"/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                               </w:t>
      </w:r>
      <w:permEnd w:id="0"/>
      <w:r>
        <w:rPr>
          <w:rFonts w:ascii="宋体" w:hAnsi="宋体" w:eastAsia="宋体"/>
          <w:b/>
          <w:bCs/>
          <w:sz w:val="21"/>
          <w:szCs w:val="21"/>
        </w:rPr>
        <w:t xml:space="preserve"> 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安装地址：</w:t>
      </w:r>
      <w:permStart w:id="1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                          </w:t>
      </w:r>
      <w:permEnd w:id="1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联系人：</w:t>
      </w:r>
      <w:permStart w:id="2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                            </w:t>
      </w:r>
      <w:permEnd w:id="2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联系电话：</w:t>
      </w:r>
      <w:permStart w:id="3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                          </w:t>
      </w:r>
      <w:permEnd w:id="3"/>
    </w:p>
    <w:p>
      <w:pPr>
        <w:rPr>
          <w:rFonts w:ascii="宋体" w:hAnsi="宋体" w:eastAsia="宋体"/>
          <w:b/>
          <w:bCs/>
          <w:sz w:val="21"/>
          <w:szCs w:val="21"/>
        </w:rPr>
      </w:pP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乙方：开迈斯新能源科技有限公司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地址：江苏省常州市武进区高新区清影路21号（三叶草国际会展中心)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经甲乙双方友好协商，依平等互利、诚信的原则达成以下协议：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一.</w:t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 w:val="21"/>
          <w:szCs w:val="21"/>
        </w:rPr>
        <w:t>甲方向乙方定购以下安装服务：</w:t>
      </w:r>
    </w:p>
    <w:tbl>
      <w:tblPr>
        <w:tblStyle w:val="20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978"/>
        <w:gridCol w:w="1063"/>
        <w:gridCol w:w="1812"/>
        <w:gridCol w:w="127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产品名称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未税单价 元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税率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含税</w:t>
            </w:r>
            <w:r>
              <w:rPr>
                <w:rFonts w:ascii="宋体" w:hAnsi="宋体" w:eastAsia="宋体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米内的墙盒安装服务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600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834.0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844" w:type="dxa"/>
            <w:gridSpan w:val="6"/>
            <w:vAlign w:val="center"/>
          </w:tcPr>
          <w:p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合计人民币金额含9%增值税：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贰仟捌佰叁拾肆元</w:t>
            </w:r>
            <w:r>
              <w:rPr>
                <w:rFonts w:ascii="宋体" w:hAnsi="宋体" w:eastAsia="宋体"/>
                <w:sz w:val="21"/>
                <w:szCs w:val="21"/>
              </w:rPr>
              <w:t>（大写）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1. 40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米内的墙盒安装服务不含增项费用,增项费用明细详见本协议附件一。</w:t>
            </w:r>
          </w:p>
          <w:p>
            <w:pPr>
              <w:ind w:left="61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如安装过程中涉及增项收费，则由甲方与安装人员依据增项费用明细进行结算，乙方不参与结算。</w:t>
            </w:r>
          </w:p>
          <w:p>
            <w:pPr>
              <w:ind w:left="61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3.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乙方免费提供一次对甲乙双方约定安装地点的预勘测，确认甲方具备安装条件后，甲方需支付合同的全部金额，乙方按照约定时间上门提供安装服务。</w:t>
            </w:r>
          </w:p>
        </w:tc>
      </w:tr>
    </w:tbl>
    <w:p>
      <w:pPr>
        <w:rPr>
          <w:rFonts w:ascii="宋体" w:hAnsi="宋体" w:eastAsia="宋体"/>
          <w:b/>
          <w:bCs/>
          <w:sz w:val="21"/>
          <w:szCs w:val="21"/>
        </w:rPr>
      </w:pP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二.</w:t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 w:val="21"/>
          <w:szCs w:val="21"/>
        </w:rPr>
        <w:t>结算条款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.1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本协议含税总价为：</w:t>
      </w:r>
      <w:r>
        <w:rPr>
          <w:rFonts w:ascii="宋体" w:hAnsi="宋体" w:eastAsia="宋体" w:cs="Arial"/>
          <w:sz w:val="21"/>
          <w:szCs w:val="21"/>
          <w:u w:val="single"/>
        </w:rPr>
        <w:t>2,</w:t>
      </w:r>
      <w:r>
        <w:rPr>
          <w:rFonts w:hint="eastAsia" w:ascii="宋体" w:hAnsi="宋体" w:eastAsia="宋体" w:cs="Arial"/>
          <w:sz w:val="21"/>
          <w:szCs w:val="21"/>
          <w:u w:val="single"/>
        </w:rPr>
        <w:t>834</w:t>
      </w:r>
      <w:r>
        <w:rPr>
          <w:rFonts w:hint="eastAsia" w:ascii="宋体" w:hAnsi="宋体" w:eastAsia="宋体" w:cs="宋体"/>
          <w:sz w:val="21"/>
          <w:szCs w:val="21"/>
          <w:u w:val="single"/>
        </w:rPr>
        <w:t>元（大写：贰仟捌佰叁拾肆元）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2.2 </w:t>
      </w:r>
      <w:r>
        <w:rPr>
          <w:rFonts w:hint="eastAsia" w:ascii="宋体" w:hAnsi="宋体" w:eastAsia="宋体"/>
          <w:sz w:val="21"/>
          <w:szCs w:val="21"/>
        </w:rPr>
        <w:t>在甲、乙双方签署本协议后7天内，甲方应以电汇方式支付全部款项。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2.3</w:t>
      </w:r>
      <w:r>
        <w:rPr>
          <w:rFonts w:hint="eastAsia" w:ascii="宋体" w:hAnsi="宋体" w:eastAsia="宋体"/>
          <w:sz w:val="21"/>
          <w:szCs w:val="21"/>
        </w:rPr>
        <w:t>乙方应在确认甲方安装完成后，</w:t>
      </w:r>
      <w:r>
        <w:rPr>
          <w:rFonts w:ascii="宋体" w:hAnsi="宋体" w:eastAsia="宋体"/>
          <w:sz w:val="21"/>
          <w:szCs w:val="21"/>
        </w:rPr>
        <w:t>15</w:t>
      </w:r>
      <w:r>
        <w:rPr>
          <w:rFonts w:hint="eastAsia" w:ascii="宋体" w:hAnsi="宋体" w:eastAsia="宋体"/>
          <w:sz w:val="21"/>
          <w:szCs w:val="21"/>
        </w:rPr>
        <w:t>个工作日内向甲方开具增值税发票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2.4 </w:t>
      </w:r>
      <w:r>
        <w:rPr>
          <w:rFonts w:hint="eastAsia" w:ascii="宋体" w:hAnsi="宋体" w:eastAsia="宋体"/>
          <w:sz w:val="21"/>
          <w:szCs w:val="21"/>
        </w:rPr>
        <w:t>乙方指定收款账户如下，</w:t>
      </w:r>
      <w:r>
        <w:rPr>
          <w:rFonts w:hint="eastAsia" w:ascii="宋体" w:hAnsi="宋体" w:eastAsia="宋体" w:cs="宋体"/>
          <w:sz w:val="21"/>
          <w:szCs w:val="21"/>
        </w:rPr>
        <w:t>乙方收款账户信息如有变更应提前</w:t>
      </w:r>
      <w:r>
        <w:rPr>
          <w:rFonts w:hint="eastAsia" w:ascii="宋体" w:hAnsi="宋体" w:eastAsia="宋体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个工作日正式书面通知甲方。如乙方因信息变更未及时通知甲方，由此造成延期付款、付款错误等，由乙方自行承担。未尽事宜，以双方另行书面确认的为准。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账户名称：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开迈斯新能源科技有限公司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开户行：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中国农业银行股份有限公司常州经济开发区支行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账号：</w:t>
      </w:r>
      <w:r>
        <w:rPr>
          <w:rFonts w:ascii="宋体" w:hAnsi="宋体" w:eastAsia="宋体" w:cs="宋体"/>
          <w:sz w:val="21"/>
          <w:szCs w:val="21"/>
        </w:rPr>
        <w:t xml:space="preserve"> 10618101040217101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 xml:space="preserve">甲方发票信息：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    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单位名称：</w:t>
      </w:r>
      <w:permStart w:id="4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</w:t>
      </w:r>
      <w:permEnd w:id="4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税号：</w:t>
      </w:r>
      <w:permStart w:id="5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</w:t>
      </w:r>
      <w:permEnd w:id="5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地址：</w:t>
      </w:r>
      <w:permStart w:id="6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</w:t>
      </w:r>
      <w:permEnd w:id="6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电话：</w:t>
      </w:r>
      <w:permStart w:id="7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</w:t>
      </w:r>
      <w:permEnd w:id="7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开户行：</w:t>
      </w:r>
      <w:permStart w:id="8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</w:t>
      </w:r>
      <w:permEnd w:id="8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账号：</w:t>
      </w:r>
      <w:permStart w:id="9" w:edGrp="everyone"/>
      <w:r>
        <w:rPr>
          <w:rFonts w:hint="eastAsia" w:ascii="宋体" w:hAnsi="宋体" w:eastAsia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/>
          <w:b/>
          <w:bCs/>
          <w:sz w:val="21"/>
          <w:szCs w:val="21"/>
        </w:rPr>
        <w:t xml:space="preserve">                                 </w:t>
      </w:r>
      <w:permEnd w:id="9"/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三.安装服务要求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3.1</w:t>
      </w:r>
      <w:r>
        <w:rPr>
          <w:rFonts w:hint="eastAsia" w:ascii="宋体" w:hAnsi="宋体" w:eastAsia="宋体"/>
          <w:sz w:val="21"/>
          <w:szCs w:val="21"/>
        </w:rPr>
        <w:t>安装服务内容、施工方案和安装工艺等均需符合国家及地方法律法规、标准、管理规范要求。</w:t>
      </w:r>
    </w:p>
    <w:p>
      <w:pPr>
        <w:snapToGrid w:val="0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3.2 </w:t>
      </w:r>
      <w:r>
        <w:rPr>
          <w:rFonts w:hint="eastAsia" w:ascii="宋体" w:hAnsi="宋体" w:eastAsia="宋体"/>
          <w:sz w:val="21"/>
          <w:szCs w:val="21"/>
        </w:rPr>
        <w:t>双方完成本协议签署且乙方收到甲方支付的全部款项后，</w:t>
      </w:r>
      <w:r>
        <w:rPr>
          <w:rFonts w:hint="eastAsia" w:ascii="宋体" w:hAnsi="宋体" w:eastAsia="宋体" w:cs="Arial"/>
          <w:sz w:val="21"/>
          <w:szCs w:val="21"/>
        </w:rPr>
        <w:t>如甲方不需要电力报装，则乙方应于</w:t>
      </w:r>
      <w:r>
        <w:rPr>
          <w:rFonts w:ascii="宋体" w:hAnsi="宋体" w:eastAsia="宋体" w:cs="Arial"/>
          <w:sz w:val="21"/>
          <w:szCs w:val="21"/>
        </w:rPr>
        <w:t>15</w:t>
      </w:r>
      <w:r>
        <w:rPr>
          <w:rFonts w:hint="eastAsia" w:ascii="宋体" w:hAnsi="宋体" w:eastAsia="宋体" w:cs="Arial"/>
          <w:sz w:val="21"/>
          <w:szCs w:val="21"/>
        </w:rPr>
        <w:t>个工作日内完成墙盒安装；如甲方需要电力报装，则视具体情况而定。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四.</w:t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 w:val="21"/>
          <w:szCs w:val="21"/>
        </w:rPr>
        <w:t>违约责任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如遇甲方需变更已约定的安装时间、地点、设备等特殊情形，甲方应及时通知乙方，乙方应予以力所能及的配合。如因甲方未能及时通知，导致乙方既定工作量的增加，乙方有权要求甲方做出以下补偿。甲方距离约定安装时间不足4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小时变更订单的，甲方应向乙方支付合同总款项1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%的变更费用；甲方距离约定安装时间不足</w:t>
      </w:r>
      <w:r>
        <w:rPr>
          <w:rFonts w:ascii="宋体" w:hAnsi="宋体" w:eastAsia="宋体"/>
          <w:sz w:val="21"/>
          <w:szCs w:val="21"/>
        </w:rPr>
        <w:t>24</w:t>
      </w:r>
      <w:r>
        <w:rPr>
          <w:rFonts w:hint="eastAsia" w:ascii="宋体" w:hAnsi="宋体" w:eastAsia="宋体"/>
          <w:sz w:val="21"/>
          <w:szCs w:val="21"/>
        </w:rPr>
        <w:t>小时变更订单的，甲方应向乙方支付合同总款项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%的变更费用。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五.</w:t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 w:val="21"/>
          <w:szCs w:val="21"/>
        </w:rPr>
        <w:t>争议解决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5.1 </w:t>
      </w:r>
      <w:r>
        <w:rPr>
          <w:rFonts w:hint="eastAsia" w:ascii="宋体" w:hAnsi="宋体" w:eastAsia="宋体"/>
          <w:sz w:val="21"/>
          <w:szCs w:val="21"/>
        </w:rPr>
        <w:t>本协议的订立、效力、解释、履行以及对任何因其引起的争议的解决，应受中国法律管辖并依其解释。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 xml:space="preserve">2 </w:t>
      </w:r>
      <w:r>
        <w:rPr>
          <w:rFonts w:hint="eastAsia" w:ascii="宋体" w:hAnsi="宋体" w:eastAsia="宋体"/>
          <w:sz w:val="21"/>
          <w:szCs w:val="21"/>
        </w:rPr>
        <w:t>如发生因本协议引起或与之相关的任何争议，各方应尽全力通过友好协商解决该争议。如争议未在发出争议通知后的6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天内解决，任何一方有权将该争议提交乙方住所地法院,诉讼费用由败诉一方承担。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六.</w:t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 w:val="21"/>
          <w:szCs w:val="21"/>
        </w:rPr>
        <w:t>合同时效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合同自</w:t>
      </w:r>
      <w:permStart w:id="10" w:edGrp="everyone"/>
      <w:r>
        <w:rPr>
          <w:rFonts w:ascii="宋体" w:hAnsi="宋体" w:eastAsia="宋体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  <w:u w:val="single"/>
        </w:rPr>
        <w:t>_2022</w:t>
      </w:r>
      <w:r>
        <w:rPr>
          <w:rFonts w:ascii="宋体" w:hAnsi="宋体" w:eastAsia="宋体"/>
          <w:sz w:val="21"/>
          <w:szCs w:val="21"/>
        </w:rPr>
        <w:t>___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  <w:u w:val="single"/>
        </w:rPr>
        <w:t>_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>11</w:t>
      </w:r>
      <w:r>
        <w:rPr>
          <w:rFonts w:ascii="宋体" w:hAnsi="宋体" w:eastAsia="宋体"/>
          <w:sz w:val="21"/>
          <w:szCs w:val="21"/>
        </w:rPr>
        <w:t>__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  <w:u w:val="single"/>
        </w:rPr>
        <w:t>_ 1</w:t>
      </w:r>
      <w:r>
        <w:rPr>
          <w:rFonts w:ascii="宋体" w:hAnsi="宋体" w:eastAsia="宋体"/>
          <w:sz w:val="21"/>
          <w:szCs w:val="21"/>
        </w:rPr>
        <w:t>__</w:t>
      </w:r>
      <w:r>
        <w:rPr>
          <w:rFonts w:hint="eastAsia" w:ascii="宋体" w:hAnsi="宋体" w:eastAsia="宋体"/>
          <w:sz w:val="21"/>
          <w:szCs w:val="21"/>
        </w:rPr>
        <w:t>日</w:t>
      </w:r>
      <w:permEnd w:id="10"/>
      <w:r>
        <w:rPr>
          <w:rFonts w:hint="eastAsia" w:ascii="宋体" w:hAnsi="宋体" w:eastAsia="宋体"/>
          <w:sz w:val="21"/>
          <w:szCs w:val="21"/>
        </w:rPr>
        <w:t>起生效，双方所有权利义务履行完毕之日合同终止。</w:t>
      </w:r>
    </w:p>
    <w:p>
      <w:pPr>
        <w:ind w:firstLine="480"/>
        <w:rPr>
          <w:rFonts w:ascii="宋体" w:hAnsi="宋体" w:eastAsia="宋体"/>
          <w:sz w:val="21"/>
          <w:szCs w:val="21"/>
        </w:rPr>
      </w:pPr>
    </w:p>
    <w:p>
      <w:pPr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（以下无正文）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甲方（签字或盖章） </w:t>
      </w:r>
      <w:r>
        <w:rPr>
          <w:rFonts w:ascii="宋体" w:hAnsi="宋体" w:eastAsia="宋体"/>
          <w:sz w:val="21"/>
          <w:szCs w:val="21"/>
        </w:rPr>
        <w:t xml:space="preserve">                               </w:t>
      </w:r>
      <w:r>
        <w:rPr>
          <w:rFonts w:hint="eastAsia" w:ascii="宋体" w:hAnsi="宋体" w:eastAsia="宋体"/>
          <w:sz w:val="21"/>
          <w:szCs w:val="21"/>
        </w:rPr>
        <w:t>乙方（签字或盖章）：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日期：  </w:t>
      </w:r>
      <w:r>
        <w:rPr>
          <w:rFonts w:ascii="宋体" w:hAnsi="宋体" w:eastAsia="宋体"/>
          <w:sz w:val="21"/>
          <w:szCs w:val="21"/>
        </w:rPr>
        <w:t xml:space="preserve">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日期： 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甲方合同邮寄地址、联系人、电话：</w:t>
      </w:r>
    </w:p>
    <w:p>
      <w:pPr>
        <w:rPr>
          <w:rFonts w:ascii="宋体" w:hAnsi="宋体" w:eastAsia="宋体"/>
          <w:sz w:val="21"/>
          <w:szCs w:val="21"/>
        </w:rPr>
      </w:pPr>
      <w:permStart w:id="11" w:edGrp="everyone"/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                      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 xml:space="preserve">                    </w:t>
      </w:r>
      <w:permEnd w:id="11"/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                              </w:t>
      </w:r>
    </w:p>
    <w:p>
      <w:pPr>
        <w:rPr>
          <w:rFonts w:ascii="楷体_GB2312" w:hAnsi="??" w:eastAsia="宋体"/>
          <w:sz w:val="24"/>
          <w:szCs w:val="24"/>
        </w:rPr>
      </w:pPr>
      <w:r>
        <w:rPr>
          <w:rFonts w:hint="eastAsia" w:ascii="楷体_GB2312" w:hAnsi="??" w:eastAsia="宋体"/>
          <w:sz w:val="24"/>
          <w:szCs w:val="24"/>
        </w:rPr>
        <w:t>乙方合同邮寄地址、联系人、电话：</w:t>
      </w:r>
    </w:p>
    <w:p>
      <w:pPr>
        <w:rPr>
          <w:rFonts w:ascii="楷体_GB2312" w:hAnsi="??" w:eastAsia="宋体"/>
          <w:sz w:val="24"/>
          <w:szCs w:val="24"/>
        </w:rPr>
      </w:pPr>
      <w:r>
        <w:rPr>
          <w:rFonts w:hint="eastAsia" w:ascii="楷体_GB2312" w:hAnsi="??" w:eastAsia="宋体"/>
          <w:sz w:val="24"/>
          <w:szCs w:val="24"/>
        </w:rPr>
        <w:t>江苏省常州市武进区高新区清影路</w:t>
      </w:r>
      <w:r>
        <w:rPr>
          <w:rFonts w:ascii="楷体_GB2312" w:hAnsi="??" w:eastAsia="宋体"/>
          <w:sz w:val="24"/>
          <w:szCs w:val="24"/>
        </w:rPr>
        <w:t>21</w:t>
      </w:r>
      <w:r>
        <w:rPr>
          <w:rFonts w:hint="eastAsia" w:ascii="楷体_GB2312" w:hAnsi="??" w:eastAsia="宋体"/>
          <w:sz w:val="24"/>
          <w:szCs w:val="24"/>
        </w:rPr>
        <w:t>号（三叶草国家会展中心）</w:t>
      </w:r>
    </w:p>
    <w:p>
      <w:pPr>
        <w:ind w:right="960"/>
        <w:rPr>
          <w:rFonts w:ascii="楷体_GB2312" w:hAnsi="??" w:eastAsia="宋体"/>
          <w:sz w:val="24"/>
          <w:szCs w:val="24"/>
        </w:rPr>
      </w:pPr>
      <w:r>
        <w:rPr>
          <w:rFonts w:hint="eastAsia" w:ascii="楷体_GB2312" w:hAnsi="??" w:eastAsia="宋体"/>
          <w:sz w:val="24"/>
          <w:szCs w:val="24"/>
        </w:rPr>
        <w:t>开迈斯新能源科技有限公司</w:t>
      </w:r>
      <w:r>
        <w:rPr>
          <w:rFonts w:ascii="楷体_GB2312" w:hAnsi="??" w:eastAsia="宋体"/>
          <w:sz w:val="24"/>
          <w:szCs w:val="24"/>
        </w:rPr>
        <w:t xml:space="preserve">  </w:t>
      </w:r>
      <w:r>
        <w:rPr>
          <w:rFonts w:hint="eastAsia" w:ascii="楷体_GB2312" w:hAnsi="??" w:eastAsia="宋体"/>
          <w:sz w:val="24"/>
          <w:szCs w:val="24"/>
        </w:rPr>
        <w:t>范刘红</w:t>
      </w:r>
      <w:r>
        <w:rPr>
          <w:rFonts w:ascii="楷体_GB2312" w:hAnsi="??" w:eastAsia="宋体"/>
          <w:sz w:val="24"/>
          <w:szCs w:val="24"/>
        </w:rPr>
        <w:t xml:space="preserve">  18852863911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楷体_GB2312" w:hAnsi="??" w:eastAsia="宋体"/>
          <w:sz w:val="24"/>
          <w:szCs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3" w:bottom="1440" w:left="1797" w:header="851" w:footer="992" w:gutter="0"/>
          <w:pgNumType w:start="1"/>
          <w:cols w:space="425" w:num="1"/>
          <w:titlePg/>
          <w:docGrid w:type="linesAndChars" w:linePitch="381" w:charSpace="0"/>
        </w:sectPr>
      </w:pPr>
    </w:p>
    <w:p>
      <w:pPr>
        <w:spacing w:line="360" w:lineRule="auto"/>
        <w:outlineLvl w:val="0"/>
        <w:rPr>
          <w:rFonts w:ascii="楷体_GB2312" w:hAnsi="??" w:eastAsia="宋体"/>
          <w:sz w:val="24"/>
          <w:szCs w:val="24"/>
        </w:rPr>
      </w:pPr>
      <w:r>
        <w:rPr>
          <w:rFonts w:hint="eastAsia" w:ascii="楷体_GB2312" w:hAnsi="??" w:eastAsia="宋体"/>
          <w:sz w:val="24"/>
          <w:szCs w:val="24"/>
        </w:rPr>
        <w:t>附件一</w:t>
      </w:r>
    </w:p>
    <w:tbl>
      <w:tblPr>
        <w:tblStyle w:val="20"/>
        <w:tblW w:w="51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28"/>
        <w:gridCol w:w="5091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一汽-奥迪墙盒安装增项费用表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要求及规格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远程费用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距离网点和经销商共同超出220km 收取远程费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电缆铺设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（单项）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3*6mm²电缆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（总长度≤55m，超出套包部分的计费单价）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3*10mm²电缆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（55m＜总长度≤90m，超出套包部分的计费单价）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3*16mm²电缆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（90m＜总长度≤145m，超出套包部分的计费单价）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3*25mm²电缆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（145m＜总长度≤220m，超出套包部分的计费单价）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80元/米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电缆铺设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（三项）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5*6mm²电缆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（总长度≤110m，超出套包部分的计费单价）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5*10mm²电缆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（110m＜总长度≤185m，超出套包部分的计费单价）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5*16mm²电缆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（185m＜总长度≤290m，超出套包部分的计费单价）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85元/米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YJV-ZR/ZC 5*25mm²电缆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（290m＜总长度≤445m，超出套包部分的计费单价）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含配套镀锌管或PVC管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含人工及三年质保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套包内电缆升级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整体米数导致套包内电缆线径升级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电表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正泰或德力西，220V 10(40)A单项电表，含安装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正泰或德力西，380V 10(40)A三项电表，含安装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350元/个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接地极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接地极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80元/次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电表箱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PZ40，满足安装环境防雨防水标准，含安装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充电桩立柱、基础及安装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充电桩立柱+安装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450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51"/>
                <w:rFonts w:hint="default"/>
                <w:lang w:bidi="ar"/>
              </w:rPr>
              <w:t>充电桩立柱+安装+混凝土基础制作，含基坑挖填</w:t>
            </w:r>
            <w:r>
              <w:rPr>
                <w:rStyle w:val="51"/>
                <w:rFonts w:hint="default"/>
                <w:lang w:bidi="ar"/>
              </w:rPr>
              <w:br w:type="textWrapping"/>
            </w:r>
            <w:r>
              <w:rPr>
                <w:rStyle w:val="51"/>
                <w:rFonts w:hint="default"/>
                <w:lang w:bidi="ar"/>
              </w:rPr>
              <w:t xml:space="preserve"> </w:t>
            </w:r>
            <w:r>
              <w:rPr>
                <w:rStyle w:val="52"/>
                <w:rFonts w:hint="default"/>
                <w:lang w:bidi="ar"/>
              </w:rPr>
              <w:t>（尺寸：500mm*500mm*200mm）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750元/个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仅安装，立柱由客户自行准备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51"/>
                <w:rFonts w:hint="default"/>
                <w:lang w:bidi="ar"/>
              </w:rPr>
              <w:t>仅安装+混凝土基础制作，含基坑挖填，立柱由客户自行准备</w:t>
            </w:r>
            <w:r>
              <w:rPr>
                <w:rStyle w:val="51"/>
                <w:rFonts w:hint="default"/>
                <w:lang w:bidi="ar"/>
              </w:rPr>
              <w:br w:type="textWrapping"/>
            </w:r>
            <w:r>
              <w:rPr>
                <w:rStyle w:val="52"/>
                <w:rFonts w:hint="default"/>
                <w:lang w:bidi="ar"/>
              </w:rPr>
              <w:t xml:space="preserve"> （尺寸：500mm*500mm*200mm）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350元/个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防雨防盗箱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51"/>
                <w:rFonts w:hint="default"/>
                <w:lang w:bidi="ar"/>
              </w:rPr>
              <w:t>满足安装环境防雨防水标准，含安装</w:t>
            </w:r>
            <w:r>
              <w:rPr>
                <w:rStyle w:val="51"/>
                <w:rFonts w:hint="default"/>
                <w:lang w:bidi="ar"/>
              </w:rPr>
              <w:br w:type="textWrapping"/>
            </w:r>
            <w:r>
              <w:rPr>
                <w:rStyle w:val="51"/>
                <w:rFonts w:hint="default"/>
                <w:lang w:bidi="ar"/>
              </w:rPr>
              <w:t>参考尺寸：</w:t>
            </w:r>
            <w:r>
              <w:rPr>
                <w:rStyle w:val="52"/>
                <w:rFonts w:hint="default"/>
                <w:lang w:bidi="ar"/>
              </w:rPr>
              <w:t>600mm*500mm*250mm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仅安装，防护箱由客户自行准备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100元/个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路面开槽及恢复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普通土路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55元/米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普通水泥路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160元/米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沥青路面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180元/米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铺砖路面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铺砖庭院（复合石料）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180元/米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铺砖庭院（高贵瓷砖/花岗岩）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250元/米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墙面开槽及恢复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墙壁内暗管走线，开槽埋线和恢复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穿墙打孔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内孔直径≤11CM，墙体厚度≤40cm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80元/个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内孔直径≤11CM，墙体厚度＞40cm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120元/个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电缆桥架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50mm*50mm*1.2mm 喷塑桥架及配件，含安装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高空作业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电缆敷设高度超过5米及以上高处作业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（二级高处作业及以上）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代理物业沟通及电力报装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完全代客户完成电力报装，保证解决电力接入问题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移桩服务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基础上门费：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含拆桩、勘测、重新安装等一次上门的人工和车辆使用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原设备拆除：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仅拆除原充电桩设备及其配件，如防护箱、漏保等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原线缆拆除：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拆除原充电桩供电线缆及配套管材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新设备安装：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充电桩挂桩及接线调试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线缆敷设（新电缆）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含标准规格电缆、套管和人工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参照上述电缆增项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线缆敷设（旧电缆）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使用拆下的旧电缆敷设，含人工和套管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上门勘测费</w:t>
            </w:r>
          </w:p>
        </w:tc>
        <w:tc>
          <w:tcPr>
            <w:tcW w:w="2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超出2次免费勘测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300元/次</w:t>
            </w:r>
          </w:p>
        </w:tc>
      </w:tr>
    </w:tbl>
    <w:p>
      <w:pPr>
        <w:spacing w:line="360" w:lineRule="auto"/>
        <w:outlineLvl w:val="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outlineLvl w:val="0"/>
        <w:rPr>
          <w:rFonts w:ascii="宋体" w:hAnsi="宋体" w:eastAsia="宋体"/>
          <w:sz w:val="24"/>
          <w:szCs w:val="24"/>
        </w:rPr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WAG TheSans Light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94465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61537"/>
      <w:docPartObj>
        <w:docPartGallery w:val="AutoText"/>
      </w:docPartObj>
    </w:sdtPr>
    <w:sdtContent>
      <w:p>
        <w:pPr>
          <w:pStyle w:val="11"/>
          <w:jc w:val="center"/>
        </w:pPr>
      </w:p>
    </w:sdtContent>
  </w:sdt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3272140"/>
      <w:docPartObj>
        <w:docPartGallery w:val="AutoText"/>
      </w:docPartObj>
    </w:sdtPr>
    <w:sdtContent>
      <w:sdt>
        <w:sdtPr>
          <w:id w:val="-837235605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</w:p>
        </w:sdtContent>
      </w:sdt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6D6E6C"/>
        <w:sz w:val="11"/>
        <w:szCs w:val="1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5028565</wp:posOffset>
          </wp:positionH>
          <wp:positionV relativeFrom="paragraph">
            <wp:posOffset>118745</wp:posOffset>
          </wp:positionV>
          <wp:extent cx="1078865" cy="287020"/>
          <wp:effectExtent l="0" t="0" r="13335" b="17780"/>
          <wp:wrapNone/>
          <wp:docPr id="29" name="图片 29" descr="/Users/didan/Desktop/CAMS 文件模板及书写标准/logo-1.png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/Users/didan/Desktop/CAMS 文件模板及书写标准/logo-1.pnglogo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2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No.21 Qingying Street, Wujin District, Changzhou, Jiangsu （H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eadquarter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）</w:t>
    </w:r>
  </w:p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武进区清影路21号（总部）</w:t>
    </w:r>
  </w:p>
  <w:p>
    <w:pPr>
      <w:pStyle w:val="11"/>
      <w:tabs>
        <w:tab w:val="clear" w:pos="4153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No. 377 Wuyi Road, Changzhou City, Jiangsu Province（R&amp;D 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center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)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5785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武进国家高新技术产业开发区武宜路377号创新产业园（研发中心）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5785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11"/>
      <w:tabs>
        <w:tab w:val="left" w:pos="5785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6D6E6C"/>
        <w:sz w:val="11"/>
        <w:szCs w:val="1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5028565</wp:posOffset>
          </wp:positionH>
          <wp:positionV relativeFrom="paragraph">
            <wp:posOffset>118745</wp:posOffset>
          </wp:positionV>
          <wp:extent cx="1078865" cy="287020"/>
          <wp:effectExtent l="0" t="0" r="13335" b="17780"/>
          <wp:wrapNone/>
          <wp:docPr id="30" name="图片 30" descr="/Users/didan/Desktop/CAMS 文件模板及书写标准/logo-1.png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/Users/didan/Desktop/CAMS 文件模板及书写标准/logo-1.pnglogo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No.21 Qingying Street, Wujin District, Changzhou, Jiangsu （H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eadquarter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）</w:t>
    </w:r>
  </w:p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武进区清影路21号（总部）</w:t>
    </w:r>
  </w:p>
  <w:p>
    <w:pPr>
      <w:pStyle w:val="11"/>
      <w:tabs>
        <w:tab w:val="clear" w:pos="4153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No. 377 Wuyi Road, Changzhou City, Jiangsu Province（R&amp;D 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center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)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6000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武进国家高新技术产业开发区武宜路377号创新产业园（研发中心）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6000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11"/>
      <w:tabs>
        <w:tab w:val="left" w:pos="6000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6D6E6C"/>
        <w:sz w:val="11"/>
        <w:szCs w:val="1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7573645</wp:posOffset>
          </wp:positionH>
          <wp:positionV relativeFrom="paragraph">
            <wp:posOffset>57785</wp:posOffset>
          </wp:positionV>
          <wp:extent cx="1078865" cy="287020"/>
          <wp:effectExtent l="0" t="0" r="13335" b="17780"/>
          <wp:wrapNone/>
          <wp:docPr id="1" name="图片 1" descr="/Users/didan/Desktop/CAMS 文件模板及书写标准/logo-1.png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didan/Desktop/CAMS 文件模板及书写标准/logo-1.pnglogo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No.21 Qingying Street, Wujin District, Changzhou, Jiangsu （H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eadquarter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）</w:t>
    </w:r>
  </w:p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武进区清影路21号（总部）</w:t>
    </w:r>
  </w:p>
  <w:p>
    <w:pPr>
      <w:pStyle w:val="11"/>
      <w:tabs>
        <w:tab w:val="clear" w:pos="4153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No. 377 Wuyi Road, Changzhou City, Jiangsu Province（R&amp;D 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center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)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5785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武进国家高新技术产业开发区武宜路377号创新产业园（研发中心）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5785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11"/>
      <w:tabs>
        <w:tab w:val="left" w:pos="5785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6D6E6C"/>
        <w:sz w:val="11"/>
        <w:szCs w:val="1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7619365</wp:posOffset>
          </wp:positionH>
          <wp:positionV relativeFrom="paragraph">
            <wp:posOffset>34925</wp:posOffset>
          </wp:positionV>
          <wp:extent cx="1078865" cy="287020"/>
          <wp:effectExtent l="0" t="0" r="13335" b="17780"/>
          <wp:wrapNone/>
          <wp:docPr id="2" name="图片 2" descr="/Users/didan/Desktop/CAMS 文件模板及书写标准/logo-1.png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/Users/didan/Desktop/CAMS 文件模板及书写标准/logo-1.pnglogo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No.21 Qingying Street, Wujin District, Changzhou, Jiangsu （H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eadquarter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）</w:t>
    </w:r>
  </w:p>
  <w:p>
    <w:pPr>
      <w:pStyle w:val="11"/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武进区清影路21号（总部）</w:t>
    </w:r>
  </w:p>
  <w:p>
    <w:pPr>
      <w:pStyle w:val="11"/>
      <w:tabs>
        <w:tab w:val="clear" w:pos="4153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No. 377 Wuyi Road, Changzhou City, Jiangsu Province（R&amp;D </w:t>
    </w:r>
    <w:r>
      <w:rPr>
        <w:rFonts w:hint="eastAsia"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center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)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6000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江苏省 常州市 武进国家高新技术产业开发区武宜路377号创新产业园（研发中心）</w:t>
    </w:r>
    <w:r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ab/>
    </w:r>
  </w:p>
  <w:p>
    <w:pPr>
      <w:pStyle w:val="11"/>
      <w:tabs>
        <w:tab w:val="left" w:pos="6000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11"/>
      <w:tabs>
        <w:tab w:val="left" w:pos="6000"/>
        <w:tab w:val="clear" w:pos="8306"/>
      </w:tabs>
      <w:ind w:left="188" w:leftChars="67"/>
      <w:rPr>
        <w:rFonts w:ascii="微软雅黑" w:hAnsi="微软雅黑" w:eastAsia="微软雅黑"/>
        <w:iCs/>
        <w:color w:val="808080" w:themeColor="text1" w:themeTint="80"/>
        <w:sz w:val="11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5"/>
      <w:lvlText w:val="%1."/>
      <w:lvlJc w:val="left"/>
      <w:pPr>
        <w:ind w:left="5954" w:hanging="425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ind w:left="567" w:hanging="567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ascii="宋体" w:hAnsi="宋体" w:eastAsia="宋体" w:cs="Times New Roman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dit="comments" w:enforcement="1" w:cryptProviderType="rsaAES" w:cryptAlgorithmClass="hash" w:cryptAlgorithmType="typeAny" w:cryptAlgorithmSid="14" w:cryptSpinCount="100000" w:hash="sajO5EfTEYTzO5SIypnft/M5z6jzW/z3dkN0z1fb3eBua6U98VnNOhpUMHGGgSeFGmk1/azr9rid1VbnvNEDJA==" w:salt="+newrFaZDs51gVRYg4JT1g==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ZGZkZTBmMjJhOTAwZWRiMjYxMTNmNGYyNGQ0MmYifQ=="/>
  </w:docVars>
  <w:rsids>
    <w:rsidRoot w:val="007D52EB"/>
    <w:rsid w:val="0001097C"/>
    <w:rsid w:val="00014E7F"/>
    <w:rsid w:val="000272FD"/>
    <w:rsid w:val="0003207C"/>
    <w:rsid w:val="00041E2A"/>
    <w:rsid w:val="00056CE6"/>
    <w:rsid w:val="00065B51"/>
    <w:rsid w:val="0006602B"/>
    <w:rsid w:val="00073413"/>
    <w:rsid w:val="00077979"/>
    <w:rsid w:val="00096817"/>
    <w:rsid w:val="000975EB"/>
    <w:rsid w:val="000B1478"/>
    <w:rsid w:val="000B25A9"/>
    <w:rsid w:val="000B561E"/>
    <w:rsid w:val="000B5BC6"/>
    <w:rsid w:val="000B7551"/>
    <w:rsid w:val="000C5F3A"/>
    <w:rsid w:val="000C6B80"/>
    <w:rsid w:val="000D0B68"/>
    <w:rsid w:val="000D54B7"/>
    <w:rsid w:val="000F1087"/>
    <w:rsid w:val="000F6F21"/>
    <w:rsid w:val="001144B4"/>
    <w:rsid w:val="00114E2C"/>
    <w:rsid w:val="0011522A"/>
    <w:rsid w:val="00120AAF"/>
    <w:rsid w:val="001318C2"/>
    <w:rsid w:val="00143A18"/>
    <w:rsid w:val="001578A1"/>
    <w:rsid w:val="00160D7B"/>
    <w:rsid w:val="00161663"/>
    <w:rsid w:val="00167130"/>
    <w:rsid w:val="00183B24"/>
    <w:rsid w:val="00184516"/>
    <w:rsid w:val="001A43DB"/>
    <w:rsid w:val="001A6786"/>
    <w:rsid w:val="001D19E3"/>
    <w:rsid w:val="001D79ED"/>
    <w:rsid w:val="001D7BD0"/>
    <w:rsid w:val="001E269A"/>
    <w:rsid w:val="001E6F41"/>
    <w:rsid w:val="001F0F9D"/>
    <w:rsid w:val="001F51B1"/>
    <w:rsid w:val="00203B98"/>
    <w:rsid w:val="00207080"/>
    <w:rsid w:val="002133B4"/>
    <w:rsid w:val="00213C60"/>
    <w:rsid w:val="00214CE0"/>
    <w:rsid w:val="00215DB4"/>
    <w:rsid w:val="0021683F"/>
    <w:rsid w:val="00220F6E"/>
    <w:rsid w:val="0022624F"/>
    <w:rsid w:val="002407F7"/>
    <w:rsid w:val="0024525A"/>
    <w:rsid w:val="00253D2F"/>
    <w:rsid w:val="00263E7A"/>
    <w:rsid w:val="00271858"/>
    <w:rsid w:val="002735ED"/>
    <w:rsid w:val="002750BE"/>
    <w:rsid w:val="002827CD"/>
    <w:rsid w:val="0028553C"/>
    <w:rsid w:val="00286376"/>
    <w:rsid w:val="00287F8F"/>
    <w:rsid w:val="00293F03"/>
    <w:rsid w:val="002941B0"/>
    <w:rsid w:val="002A6710"/>
    <w:rsid w:val="002A6F9D"/>
    <w:rsid w:val="002A791D"/>
    <w:rsid w:val="002B4162"/>
    <w:rsid w:val="002B50CB"/>
    <w:rsid w:val="002D3782"/>
    <w:rsid w:val="002D5736"/>
    <w:rsid w:val="002D7C9F"/>
    <w:rsid w:val="002E1FF5"/>
    <w:rsid w:val="002F7AD4"/>
    <w:rsid w:val="00302C59"/>
    <w:rsid w:val="0030700E"/>
    <w:rsid w:val="0031686D"/>
    <w:rsid w:val="00340377"/>
    <w:rsid w:val="0037234A"/>
    <w:rsid w:val="00376A0D"/>
    <w:rsid w:val="003846EA"/>
    <w:rsid w:val="003975A7"/>
    <w:rsid w:val="003A702D"/>
    <w:rsid w:val="003B2EF2"/>
    <w:rsid w:val="003B4B79"/>
    <w:rsid w:val="003B6FAB"/>
    <w:rsid w:val="003D2855"/>
    <w:rsid w:val="003D7749"/>
    <w:rsid w:val="003E147F"/>
    <w:rsid w:val="003F5FB6"/>
    <w:rsid w:val="00404F15"/>
    <w:rsid w:val="0041291B"/>
    <w:rsid w:val="00416A69"/>
    <w:rsid w:val="00421CF8"/>
    <w:rsid w:val="00422ECA"/>
    <w:rsid w:val="00424646"/>
    <w:rsid w:val="00433AA7"/>
    <w:rsid w:val="004434C4"/>
    <w:rsid w:val="00452499"/>
    <w:rsid w:val="00456060"/>
    <w:rsid w:val="004671A1"/>
    <w:rsid w:val="004679D8"/>
    <w:rsid w:val="00471AD4"/>
    <w:rsid w:val="0047435A"/>
    <w:rsid w:val="004855C6"/>
    <w:rsid w:val="0049548C"/>
    <w:rsid w:val="00495FEF"/>
    <w:rsid w:val="004A0A46"/>
    <w:rsid w:val="004C47E7"/>
    <w:rsid w:val="004F5494"/>
    <w:rsid w:val="00502E50"/>
    <w:rsid w:val="005111E0"/>
    <w:rsid w:val="00521AB3"/>
    <w:rsid w:val="005326DF"/>
    <w:rsid w:val="0053664A"/>
    <w:rsid w:val="00536EF6"/>
    <w:rsid w:val="00541F29"/>
    <w:rsid w:val="00544220"/>
    <w:rsid w:val="00571915"/>
    <w:rsid w:val="00581387"/>
    <w:rsid w:val="005907F4"/>
    <w:rsid w:val="0059106E"/>
    <w:rsid w:val="00593D3D"/>
    <w:rsid w:val="005B1D50"/>
    <w:rsid w:val="005B218F"/>
    <w:rsid w:val="005C6B56"/>
    <w:rsid w:val="005D0520"/>
    <w:rsid w:val="005D7B15"/>
    <w:rsid w:val="005E364F"/>
    <w:rsid w:val="005E3F73"/>
    <w:rsid w:val="005E4A1B"/>
    <w:rsid w:val="005F65BC"/>
    <w:rsid w:val="006105E8"/>
    <w:rsid w:val="006115C5"/>
    <w:rsid w:val="00612974"/>
    <w:rsid w:val="00621F53"/>
    <w:rsid w:val="0063291D"/>
    <w:rsid w:val="00635D2A"/>
    <w:rsid w:val="00636605"/>
    <w:rsid w:val="00643E98"/>
    <w:rsid w:val="00655462"/>
    <w:rsid w:val="006568E2"/>
    <w:rsid w:val="0066312B"/>
    <w:rsid w:val="006650AD"/>
    <w:rsid w:val="00672BCE"/>
    <w:rsid w:val="00673D10"/>
    <w:rsid w:val="0067563C"/>
    <w:rsid w:val="00694978"/>
    <w:rsid w:val="006A380F"/>
    <w:rsid w:val="006A440C"/>
    <w:rsid w:val="006A48E0"/>
    <w:rsid w:val="006B1C33"/>
    <w:rsid w:val="006C0D51"/>
    <w:rsid w:val="006C6BB7"/>
    <w:rsid w:val="006D182B"/>
    <w:rsid w:val="006D6AFF"/>
    <w:rsid w:val="006F021D"/>
    <w:rsid w:val="006F6272"/>
    <w:rsid w:val="00710653"/>
    <w:rsid w:val="00720549"/>
    <w:rsid w:val="00723729"/>
    <w:rsid w:val="00723813"/>
    <w:rsid w:val="00726B6E"/>
    <w:rsid w:val="00743200"/>
    <w:rsid w:val="00747F23"/>
    <w:rsid w:val="00780DC2"/>
    <w:rsid w:val="007867B3"/>
    <w:rsid w:val="007949D2"/>
    <w:rsid w:val="007A0506"/>
    <w:rsid w:val="007A38EC"/>
    <w:rsid w:val="007B39F6"/>
    <w:rsid w:val="007D0170"/>
    <w:rsid w:val="007D52EB"/>
    <w:rsid w:val="007D6B21"/>
    <w:rsid w:val="007D6F9A"/>
    <w:rsid w:val="007E7EC8"/>
    <w:rsid w:val="007F105F"/>
    <w:rsid w:val="007F2594"/>
    <w:rsid w:val="00800D1A"/>
    <w:rsid w:val="00807AFA"/>
    <w:rsid w:val="008105E7"/>
    <w:rsid w:val="0081185A"/>
    <w:rsid w:val="00811DC7"/>
    <w:rsid w:val="00813931"/>
    <w:rsid w:val="0082232E"/>
    <w:rsid w:val="00826D18"/>
    <w:rsid w:val="008360F1"/>
    <w:rsid w:val="00842F40"/>
    <w:rsid w:val="008433C9"/>
    <w:rsid w:val="00847FE5"/>
    <w:rsid w:val="00852323"/>
    <w:rsid w:val="0085476E"/>
    <w:rsid w:val="00860C39"/>
    <w:rsid w:val="00863EE9"/>
    <w:rsid w:val="00865F3C"/>
    <w:rsid w:val="0088720A"/>
    <w:rsid w:val="008B3DB0"/>
    <w:rsid w:val="008C1A83"/>
    <w:rsid w:val="008D53BD"/>
    <w:rsid w:val="008E2DC9"/>
    <w:rsid w:val="008E3B4D"/>
    <w:rsid w:val="008F2CAB"/>
    <w:rsid w:val="008F2D4B"/>
    <w:rsid w:val="008F5AB0"/>
    <w:rsid w:val="00901047"/>
    <w:rsid w:val="00902AEE"/>
    <w:rsid w:val="00905DF2"/>
    <w:rsid w:val="009075AE"/>
    <w:rsid w:val="00910702"/>
    <w:rsid w:val="00913F31"/>
    <w:rsid w:val="0092238F"/>
    <w:rsid w:val="00926757"/>
    <w:rsid w:val="00954192"/>
    <w:rsid w:val="00970134"/>
    <w:rsid w:val="00971701"/>
    <w:rsid w:val="00974286"/>
    <w:rsid w:val="00980BDC"/>
    <w:rsid w:val="00994503"/>
    <w:rsid w:val="009B0402"/>
    <w:rsid w:val="009B0948"/>
    <w:rsid w:val="009C2643"/>
    <w:rsid w:val="009C76FF"/>
    <w:rsid w:val="009D08A6"/>
    <w:rsid w:val="009D6FD8"/>
    <w:rsid w:val="009E165B"/>
    <w:rsid w:val="009E252E"/>
    <w:rsid w:val="009E4A4F"/>
    <w:rsid w:val="00A00C20"/>
    <w:rsid w:val="00A26EA0"/>
    <w:rsid w:val="00A31FED"/>
    <w:rsid w:val="00A37F5A"/>
    <w:rsid w:val="00A546EB"/>
    <w:rsid w:val="00A57E57"/>
    <w:rsid w:val="00A65B25"/>
    <w:rsid w:val="00A711E4"/>
    <w:rsid w:val="00A74DAB"/>
    <w:rsid w:val="00A7716B"/>
    <w:rsid w:val="00A77DF4"/>
    <w:rsid w:val="00A81077"/>
    <w:rsid w:val="00A83341"/>
    <w:rsid w:val="00A90738"/>
    <w:rsid w:val="00A9691F"/>
    <w:rsid w:val="00AA2660"/>
    <w:rsid w:val="00AA75E9"/>
    <w:rsid w:val="00AB1C2F"/>
    <w:rsid w:val="00AB3641"/>
    <w:rsid w:val="00AB78AE"/>
    <w:rsid w:val="00AC63D9"/>
    <w:rsid w:val="00AD38C1"/>
    <w:rsid w:val="00B03C40"/>
    <w:rsid w:val="00B11631"/>
    <w:rsid w:val="00B129B1"/>
    <w:rsid w:val="00B34398"/>
    <w:rsid w:val="00B403B7"/>
    <w:rsid w:val="00B60B4A"/>
    <w:rsid w:val="00B61F43"/>
    <w:rsid w:val="00B67CB3"/>
    <w:rsid w:val="00B70FA4"/>
    <w:rsid w:val="00B710F6"/>
    <w:rsid w:val="00B74AB6"/>
    <w:rsid w:val="00B75023"/>
    <w:rsid w:val="00B81C7C"/>
    <w:rsid w:val="00B84D23"/>
    <w:rsid w:val="00B91916"/>
    <w:rsid w:val="00B925B5"/>
    <w:rsid w:val="00BC32BD"/>
    <w:rsid w:val="00BE0ACC"/>
    <w:rsid w:val="00BE5731"/>
    <w:rsid w:val="00C01477"/>
    <w:rsid w:val="00C101AB"/>
    <w:rsid w:val="00C21439"/>
    <w:rsid w:val="00C23800"/>
    <w:rsid w:val="00C34A53"/>
    <w:rsid w:val="00C411CC"/>
    <w:rsid w:val="00C533A8"/>
    <w:rsid w:val="00C65D05"/>
    <w:rsid w:val="00C7110F"/>
    <w:rsid w:val="00C84AC9"/>
    <w:rsid w:val="00C851FD"/>
    <w:rsid w:val="00CA32B9"/>
    <w:rsid w:val="00CA4A2B"/>
    <w:rsid w:val="00CA5F50"/>
    <w:rsid w:val="00CC29F9"/>
    <w:rsid w:val="00CD4BEB"/>
    <w:rsid w:val="00CE06C2"/>
    <w:rsid w:val="00CE70BA"/>
    <w:rsid w:val="00D0189C"/>
    <w:rsid w:val="00D037ED"/>
    <w:rsid w:val="00D10EF0"/>
    <w:rsid w:val="00D436DE"/>
    <w:rsid w:val="00D55EC3"/>
    <w:rsid w:val="00D64020"/>
    <w:rsid w:val="00D65D46"/>
    <w:rsid w:val="00D77DA5"/>
    <w:rsid w:val="00D86753"/>
    <w:rsid w:val="00DA45EB"/>
    <w:rsid w:val="00DB4AD5"/>
    <w:rsid w:val="00DB7233"/>
    <w:rsid w:val="00DC30FA"/>
    <w:rsid w:val="00DC6117"/>
    <w:rsid w:val="00DD78D5"/>
    <w:rsid w:val="00DE6F56"/>
    <w:rsid w:val="00DF26A0"/>
    <w:rsid w:val="00DF6D40"/>
    <w:rsid w:val="00E019BB"/>
    <w:rsid w:val="00E17EE5"/>
    <w:rsid w:val="00E20210"/>
    <w:rsid w:val="00E2329A"/>
    <w:rsid w:val="00E24B68"/>
    <w:rsid w:val="00E27849"/>
    <w:rsid w:val="00E37EDA"/>
    <w:rsid w:val="00E46DEC"/>
    <w:rsid w:val="00E561FB"/>
    <w:rsid w:val="00E614AE"/>
    <w:rsid w:val="00E61758"/>
    <w:rsid w:val="00E65081"/>
    <w:rsid w:val="00E745B3"/>
    <w:rsid w:val="00E9302F"/>
    <w:rsid w:val="00E94A29"/>
    <w:rsid w:val="00E95584"/>
    <w:rsid w:val="00EA6C98"/>
    <w:rsid w:val="00EB0693"/>
    <w:rsid w:val="00EB3C56"/>
    <w:rsid w:val="00ED0A7E"/>
    <w:rsid w:val="00ED54E5"/>
    <w:rsid w:val="00EE0E81"/>
    <w:rsid w:val="00EF058A"/>
    <w:rsid w:val="00EF59BD"/>
    <w:rsid w:val="00EF6C09"/>
    <w:rsid w:val="00EF7054"/>
    <w:rsid w:val="00F017F6"/>
    <w:rsid w:val="00F041C6"/>
    <w:rsid w:val="00F04FA1"/>
    <w:rsid w:val="00F160BB"/>
    <w:rsid w:val="00F25015"/>
    <w:rsid w:val="00F362A4"/>
    <w:rsid w:val="00F40593"/>
    <w:rsid w:val="00F4149C"/>
    <w:rsid w:val="00F43E25"/>
    <w:rsid w:val="00F503E1"/>
    <w:rsid w:val="00F506A8"/>
    <w:rsid w:val="00F52946"/>
    <w:rsid w:val="00F56C1B"/>
    <w:rsid w:val="00F63C53"/>
    <w:rsid w:val="00F74610"/>
    <w:rsid w:val="00F8122B"/>
    <w:rsid w:val="00F8172E"/>
    <w:rsid w:val="00F83FFC"/>
    <w:rsid w:val="00F92108"/>
    <w:rsid w:val="00FB42C3"/>
    <w:rsid w:val="00FC1461"/>
    <w:rsid w:val="00FC5231"/>
    <w:rsid w:val="00FC6CE2"/>
    <w:rsid w:val="00FD046C"/>
    <w:rsid w:val="00FE2829"/>
    <w:rsid w:val="00FF3356"/>
    <w:rsid w:val="14E124ED"/>
    <w:rsid w:val="277F41EC"/>
    <w:rsid w:val="2885145F"/>
    <w:rsid w:val="32AB21B0"/>
    <w:rsid w:val="688F24B1"/>
    <w:rsid w:val="7BD95E77"/>
    <w:rsid w:val="7CC3404B"/>
    <w:rsid w:val="D7BE5083"/>
    <w:rsid w:val="EEEED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Arial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126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33"/>
    <w:unhideWhenUsed/>
    <w:qFormat/>
    <w:uiPriority w:val="0"/>
  </w:style>
  <w:style w:type="paragraph" w:styleId="5">
    <w:name w:val="Body Text"/>
    <w:basedOn w:val="1"/>
    <w:qFormat/>
    <w:uiPriority w:val="1"/>
    <w:pPr>
      <w:spacing w:before="209"/>
      <w:ind w:left="620"/>
    </w:pPr>
    <w:rPr>
      <w:rFonts w:ascii="微软雅黑" w:hAnsi="微软雅黑" w:eastAsia="微软雅黑"/>
      <w:kern w:val="0"/>
      <w:sz w:val="24"/>
      <w:szCs w:val="24"/>
      <w:lang w:eastAsia="en-US"/>
    </w:rPr>
  </w:style>
  <w:style w:type="paragraph" w:styleId="6">
    <w:name w:val="toc 5"/>
    <w:basedOn w:val="1"/>
    <w:next w:val="1"/>
    <w:unhideWhenUsed/>
    <w:qFormat/>
    <w:uiPriority w:val="39"/>
    <w:pPr>
      <w:ind w:left="84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</w:pPr>
    <w:rPr>
      <w:rFonts w:asciiTheme="minorHAnsi" w:hAnsiTheme="minorHAnsi" w:eastAsiaTheme="minorEastAsia" w:cstheme="minorBidi"/>
      <w:i/>
      <w:iCs/>
      <w:sz w:val="20"/>
      <w:szCs w:val="20"/>
    </w:rPr>
  </w:style>
  <w:style w:type="paragraph" w:styleId="8">
    <w:name w:val="toc 8"/>
    <w:basedOn w:val="1"/>
    <w:next w:val="1"/>
    <w:unhideWhenUsed/>
    <w:uiPriority w:val="39"/>
    <w:pPr>
      <w:ind w:left="1470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Date"/>
    <w:basedOn w:val="1"/>
    <w:next w:val="1"/>
    <w:link w:val="45"/>
    <w:semiHidden/>
    <w:unhideWhenUsed/>
    <w:qFormat/>
    <w:uiPriority w:val="99"/>
    <w:pPr>
      <w:ind w:left="100" w:leftChars="2500"/>
      <w:jc w:val="both"/>
    </w:pPr>
    <w:rPr>
      <w:rFonts w:asciiTheme="minorHAnsi" w:hAnsiTheme="minorHAnsi" w:eastAsiaTheme="minorEastAsia" w:cstheme="minorBidi"/>
      <w:sz w:val="21"/>
    </w:rPr>
  </w:style>
  <w:style w:type="paragraph" w:styleId="10">
    <w:name w:val="Balloon Text"/>
    <w:basedOn w:val="1"/>
    <w:link w:val="30"/>
    <w:unhideWhenUsed/>
    <w:qFormat/>
    <w:uiPriority w:val="99"/>
    <w:rPr>
      <w:rFonts w:ascii="宋体" w:eastAsia="宋体"/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uiPriority w:val="39"/>
    <w:pPr>
      <w:tabs>
        <w:tab w:val="left" w:pos="1470"/>
        <w:tab w:val="right" w:leader="dot" w:pos="8296"/>
      </w:tabs>
      <w:spacing w:before="120" w:after="120"/>
      <w:jc w:val="center"/>
    </w:pPr>
    <w:rPr>
      <w:rFonts w:ascii="黑体" w:hAnsi="黑体" w:eastAsia="黑体" w:cstheme="minorBidi"/>
      <w:b/>
      <w:bCs/>
      <w:caps/>
      <w:sz w:val="24"/>
      <w:szCs w:val="20"/>
    </w:rPr>
  </w:style>
  <w:style w:type="paragraph" w:styleId="14">
    <w:name w:val="toc 4"/>
    <w:basedOn w:val="1"/>
    <w:next w:val="1"/>
    <w:unhideWhenUsed/>
    <w:qFormat/>
    <w:uiPriority w:val="39"/>
    <w:pPr>
      <w:ind w:left="630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ind w:left="1050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left="210"/>
      <w:jc w:val="both"/>
    </w:pPr>
    <w:rPr>
      <w:rFonts w:asciiTheme="minorHAnsi" w:hAnsiTheme="minorHAnsi" w:eastAsiaTheme="minorEastAsia" w:cstheme="minorBidi"/>
      <w:smallCaps/>
      <w:sz w:val="20"/>
      <w:szCs w:val="20"/>
    </w:rPr>
  </w:style>
  <w:style w:type="paragraph" w:styleId="17">
    <w:name w:val="toc 9"/>
    <w:basedOn w:val="1"/>
    <w:next w:val="1"/>
    <w:unhideWhenUsed/>
    <w:qFormat/>
    <w:uiPriority w:val="39"/>
    <w:pPr>
      <w:ind w:left="1680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paragraph" w:styleId="19">
    <w:name w:val="annotation subject"/>
    <w:basedOn w:val="4"/>
    <w:next w:val="4"/>
    <w:link w:val="34"/>
    <w:unhideWhenUsed/>
    <w:qFormat/>
    <w:uiPriority w:val="99"/>
    <w:pPr>
      <w:widowControl/>
    </w:pPr>
    <w:rPr>
      <w:rFonts w:ascii="VWAG TheSans Light" w:hAnsi="VWAG TheSans Light" w:eastAsia="宋体"/>
      <w:b/>
      <w:bCs/>
      <w:kern w:val="10"/>
      <w:sz w:val="20"/>
      <w:szCs w:val="20"/>
      <w:lang w:val="de-DE" w:eastAsia="de-DE"/>
    </w:rPr>
  </w:style>
  <w:style w:type="table" w:styleId="21">
    <w:name w:val="Table Grid"/>
    <w:basedOn w:val="20"/>
    <w:qFormat/>
    <w:uiPriority w:val="59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bottom w:w="28" w:type="dxa"/>
        <w:right w:w="0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nhideWhenUsed/>
    <w:qFormat/>
    <w:uiPriority w:val="99"/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unhideWhenUsed/>
    <w:qFormat/>
    <w:uiPriority w:val="0"/>
    <w:rPr>
      <w:sz w:val="21"/>
      <w:szCs w:val="21"/>
    </w:rPr>
  </w:style>
  <w:style w:type="character" w:customStyle="1" w:styleId="28">
    <w:name w:val="页眉 字符"/>
    <w:basedOn w:val="22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22"/>
    <w:link w:val="11"/>
    <w:qFormat/>
    <w:uiPriority w:val="99"/>
    <w:rPr>
      <w:sz w:val="18"/>
      <w:szCs w:val="18"/>
    </w:rPr>
  </w:style>
  <w:style w:type="character" w:customStyle="1" w:styleId="30">
    <w:name w:val="批注框文本 字符"/>
    <w:basedOn w:val="22"/>
    <w:link w:val="10"/>
    <w:semiHidden/>
    <w:qFormat/>
    <w:uiPriority w:val="99"/>
    <w:rPr>
      <w:rFonts w:ascii="宋体" w:eastAsia="宋体"/>
      <w:sz w:val="18"/>
      <w:szCs w:val="18"/>
    </w:rPr>
  </w:style>
  <w:style w:type="character" w:customStyle="1" w:styleId="31">
    <w:name w:val="tlid-translation"/>
    <w:basedOn w:val="22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homa" w:hAnsi="Tahoma" w:cs="Tahoma" w:eastAsiaTheme="minorEastAsia"/>
      <w:color w:val="000000"/>
      <w:sz w:val="24"/>
      <w:szCs w:val="24"/>
      <w:lang w:val="en-US" w:eastAsia="zh-CN" w:bidi="ar-SA"/>
    </w:rPr>
  </w:style>
  <w:style w:type="character" w:customStyle="1" w:styleId="33">
    <w:name w:val="批注文字 字符"/>
    <w:basedOn w:val="22"/>
    <w:link w:val="4"/>
    <w:semiHidden/>
    <w:qFormat/>
    <w:uiPriority w:val="99"/>
  </w:style>
  <w:style w:type="character" w:customStyle="1" w:styleId="34">
    <w:name w:val="批注主题 字符"/>
    <w:basedOn w:val="33"/>
    <w:link w:val="19"/>
    <w:qFormat/>
    <w:uiPriority w:val="99"/>
    <w:rPr>
      <w:rFonts w:ascii="VWAG TheSans Light" w:hAnsi="VWAG TheSans Light" w:eastAsia="宋体" w:cs="Times New Roman"/>
      <w:b/>
      <w:bCs/>
      <w:kern w:val="10"/>
      <w:sz w:val="20"/>
      <w:szCs w:val="20"/>
      <w:lang w:val="de-DE" w:eastAsia="de-DE"/>
    </w:rPr>
  </w:style>
  <w:style w:type="paragraph" w:customStyle="1" w:styleId="35">
    <w:name w:val="1级标题"/>
    <w:basedOn w:val="1"/>
    <w:qFormat/>
    <w:uiPriority w:val="99"/>
    <w:pPr>
      <w:numPr>
        <w:ilvl w:val="0"/>
        <w:numId w:val="1"/>
      </w:numPr>
      <w:spacing w:beforeLines="100" w:line="360" w:lineRule="auto"/>
      <w:outlineLvl w:val="2"/>
    </w:pPr>
    <w:rPr>
      <w:rFonts w:ascii="黑体" w:hAnsi="黑体" w:eastAsia="黑体" w:cs="Arial"/>
      <w:b/>
      <w:szCs w:val="28"/>
    </w:rPr>
  </w:style>
  <w:style w:type="paragraph" w:customStyle="1" w:styleId="36">
    <w:name w:val="2级标题"/>
    <w:basedOn w:val="1"/>
    <w:qFormat/>
    <w:uiPriority w:val="99"/>
    <w:pPr>
      <w:widowControl/>
      <w:spacing w:beforeLines="50" w:line="360" w:lineRule="auto"/>
      <w:outlineLvl w:val="3"/>
    </w:pPr>
    <w:rPr>
      <w:rFonts w:ascii="Arial" w:hAnsi="Arial" w:cs="Arial"/>
      <w:sz w:val="24"/>
      <w:szCs w:val="24"/>
    </w:rPr>
  </w:style>
  <w:style w:type="paragraph" w:customStyle="1" w:styleId="37">
    <w:name w:val="投标正文"/>
    <w:basedOn w:val="1"/>
    <w:qFormat/>
    <w:uiPriority w:val="99"/>
    <w:pPr>
      <w:spacing w:before="240" w:after="240" w:line="276" w:lineRule="auto"/>
      <w:ind w:firstLine="200" w:firstLineChars="200"/>
    </w:pPr>
    <w:rPr>
      <w:sz w:val="24"/>
      <w:szCs w:val="24"/>
    </w:rPr>
  </w:style>
  <w:style w:type="paragraph" w:customStyle="1" w:styleId="38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9">
    <w:name w:val="List Paragraph"/>
    <w:basedOn w:val="1"/>
    <w:qFormat/>
    <w:uiPriority w:val="34"/>
    <w:pPr>
      <w:widowControl/>
      <w:ind w:left="720"/>
      <w:contextualSpacing/>
    </w:pPr>
    <w:rPr>
      <w:rFonts w:ascii="Times New Roman" w:hAnsi="Times New Roman" w:eastAsia="宋体"/>
      <w:kern w:val="0"/>
      <w:sz w:val="20"/>
      <w:szCs w:val="20"/>
      <w:lang w:eastAsia="en-US"/>
    </w:rPr>
  </w:style>
  <w:style w:type="character" w:customStyle="1" w:styleId="40">
    <w:name w:val="标题 1 字符"/>
    <w:basedOn w:val="2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1">
    <w:name w:val="No Spacing"/>
    <w:link w:val="4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2">
    <w:name w:val="无间隔 字符"/>
    <w:basedOn w:val="22"/>
    <w:link w:val="41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43">
    <w:name w:val="short_text"/>
    <w:basedOn w:val="22"/>
    <w:qFormat/>
    <w:uiPriority w:val="0"/>
  </w:style>
  <w:style w:type="paragraph" w:customStyle="1" w:styleId="44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45">
    <w:name w:val="日期 字符"/>
    <w:basedOn w:val="22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6">
    <w:name w:val="fontstyle01"/>
    <w:basedOn w:val="22"/>
    <w:uiPriority w:val="0"/>
    <w:rPr>
      <w:rFonts w:hint="eastAsia" w:ascii="方正兰亭黑_GBK" w:eastAsia="方正兰亭黑_GBK"/>
      <w:color w:val="000000"/>
      <w:sz w:val="24"/>
      <w:szCs w:val="24"/>
    </w:rPr>
  </w:style>
  <w:style w:type="character" w:customStyle="1" w:styleId="47">
    <w:name w:val="fontstyle11"/>
    <w:basedOn w:val="22"/>
    <w:qFormat/>
    <w:uiPriority w:val="0"/>
    <w:rPr>
      <w:rFonts w:hint="eastAsia" w:ascii="宋体" w:hAnsi="宋体" w:eastAsia="宋体"/>
      <w:color w:val="000000"/>
      <w:sz w:val="16"/>
      <w:szCs w:val="16"/>
    </w:rPr>
  </w:style>
  <w:style w:type="character" w:customStyle="1" w:styleId="48">
    <w:name w:val="fontstyle31"/>
    <w:basedOn w:val="22"/>
    <w:qFormat/>
    <w:uiPriority w:val="0"/>
    <w:rPr>
      <w:rFonts w:hint="default" w:ascii="Arial" w:hAnsi="Arial" w:cs="Arial"/>
      <w:b/>
      <w:bCs/>
      <w:color w:val="000000"/>
      <w:sz w:val="16"/>
      <w:szCs w:val="16"/>
    </w:rPr>
  </w:style>
  <w:style w:type="character" w:customStyle="1" w:styleId="49">
    <w:name w:val="fontstyle4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12"/>
      <w:szCs w:val="12"/>
    </w:rPr>
  </w:style>
  <w:style w:type="paragraph" w:customStyle="1" w:styleId="50">
    <w:name w:val="Revision"/>
    <w:hidden/>
    <w:semiHidden/>
    <w:uiPriority w:val="99"/>
    <w:rPr>
      <w:rFonts w:ascii="Calibri" w:hAnsi="Calibri" w:eastAsia="Arial" w:cs="Times New Roman"/>
      <w:kern w:val="2"/>
      <w:sz w:val="28"/>
      <w:szCs w:val="22"/>
      <w:lang w:val="en-US" w:eastAsia="zh-CN" w:bidi="ar-SA"/>
    </w:rPr>
  </w:style>
  <w:style w:type="character" w:customStyle="1" w:styleId="51">
    <w:name w:val="font11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2">
    <w:name w:val="font61"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BF26-FD9C-43AC-9B28-981BFF405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2324</Words>
  <Characters>2753</Characters>
  <Lines>26</Lines>
  <Paragraphs>7</Paragraphs>
  <TotalTime>45</TotalTime>
  <ScaleCrop>false</ScaleCrop>
  <LinksUpToDate>false</LinksUpToDate>
  <CharactersWithSpaces>3488</CharactersWithSpaces>
  <Application>WPS Office_11.1.0.12358_F1E327BC-269C-435d-A152-05C5408002CA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2022-05-23T04:24:00Z</dcterms:created>
  <dc:creator>Microsoft Office User</dc:creator>
  <cp:lastModifiedBy>摘花五十铃</cp:lastModifiedBy>
  <cp:lastPrinted>2019-10-18T08:30:00Z</cp:lastPrinted>
  <dcterms:modified xsi:type="dcterms:W3CDTF">2022-09-20T00:44:19Z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6D81D183BE1D49CFAB2710DE2C4B92B7</vt:lpwstr>
  </property>
</Properties>
</file>