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C8EF7" w14:textId="77777777" w:rsidR="00F03A82" w:rsidRDefault="00000000">
      <w:pPr>
        <w:jc w:val="center"/>
        <w:rPr>
          <w:b/>
          <w:bCs/>
          <w:sz w:val="44"/>
          <w:szCs w:val="44"/>
        </w:rPr>
      </w:pPr>
      <w:r>
        <w:rPr>
          <w:rFonts w:hint="eastAsia"/>
          <w:b/>
          <w:bCs/>
          <w:sz w:val="44"/>
          <w:szCs w:val="44"/>
        </w:rPr>
        <w:t>服</w:t>
      </w:r>
      <w:r>
        <w:rPr>
          <w:rFonts w:hint="eastAsia"/>
          <w:b/>
          <w:bCs/>
          <w:sz w:val="44"/>
          <w:szCs w:val="44"/>
        </w:rPr>
        <w:t xml:space="preserve"> </w:t>
      </w:r>
      <w:r>
        <w:rPr>
          <w:b/>
          <w:bCs/>
          <w:sz w:val="44"/>
          <w:szCs w:val="44"/>
        </w:rPr>
        <w:t xml:space="preserve"> </w:t>
      </w:r>
      <w:r>
        <w:rPr>
          <w:rFonts w:hint="eastAsia"/>
          <w:b/>
          <w:bCs/>
          <w:sz w:val="44"/>
          <w:szCs w:val="44"/>
        </w:rPr>
        <w:t>务</w:t>
      </w:r>
      <w:r>
        <w:rPr>
          <w:rFonts w:hint="eastAsia"/>
          <w:b/>
          <w:bCs/>
          <w:sz w:val="44"/>
          <w:szCs w:val="44"/>
        </w:rPr>
        <w:t xml:space="preserve"> </w:t>
      </w:r>
      <w:r>
        <w:rPr>
          <w:b/>
          <w:bCs/>
          <w:sz w:val="44"/>
          <w:szCs w:val="44"/>
        </w:rPr>
        <w:t xml:space="preserve"> </w:t>
      </w:r>
      <w:r>
        <w:rPr>
          <w:rFonts w:hint="eastAsia"/>
          <w:b/>
          <w:bCs/>
          <w:sz w:val="44"/>
          <w:szCs w:val="44"/>
        </w:rPr>
        <w:t>合</w:t>
      </w:r>
      <w:r>
        <w:rPr>
          <w:rFonts w:hint="eastAsia"/>
          <w:b/>
          <w:bCs/>
          <w:sz w:val="44"/>
          <w:szCs w:val="44"/>
        </w:rPr>
        <w:t xml:space="preserve"> </w:t>
      </w:r>
      <w:r>
        <w:rPr>
          <w:b/>
          <w:bCs/>
          <w:sz w:val="44"/>
          <w:szCs w:val="44"/>
        </w:rPr>
        <w:t xml:space="preserve"> </w:t>
      </w:r>
      <w:r>
        <w:rPr>
          <w:rFonts w:hint="eastAsia"/>
          <w:b/>
          <w:bCs/>
          <w:sz w:val="44"/>
          <w:szCs w:val="44"/>
        </w:rPr>
        <w:t>同</w:t>
      </w:r>
    </w:p>
    <w:p w14:paraId="750580D4" w14:textId="77777777" w:rsidR="00F03A82" w:rsidRDefault="00F03A82">
      <w:pPr>
        <w:rPr>
          <w:b/>
          <w:bCs/>
          <w:color w:val="000000" w:themeColor="text1"/>
          <w:sz w:val="32"/>
          <w:szCs w:val="32"/>
        </w:rPr>
      </w:pPr>
    </w:p>
    <w:p w14:paraId="6F2C42D1" w14:textId="77777777" w:rsidR="00F03A82"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 xml:space="preserve">甲 方：北京博源意嘉市场咨询有限公司（以下简称 </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甲方</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w:t>
      </w:r>
    </w:p>
    <w:p w14:paraId="100C4B3B" w14:textId="77777777" w:rsidR="00F03A82"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地 址：</w:t>
      </w:r>
      <w:r>
        <w:rPr>
          <w:rFonts w:asciiTheme="minorEastAsia" w:eastAsiaTheme="minorEastAsia" w:hAnsiTheme="minorEastAsia" w:cs="Tahoma"/>
          <w:color w:val="000000" w:themeColor="text1"/>
          <w:sz w:val="24"/>
          <w:shd w:val="clear" w:color="auto" w:fill="FFFFFF"/>
        </w:rPr>
        <w:t>北京市朝阳区南磨房镇 四惠桥尚8设计家创意园C106</w:t>
      </w:r>
    </w:p>
    <w:p w14:paraId="42AEE14A"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电 话：13810400077</w:t>
      </w:r>
    </w:p>
    <w:p w14:paraId="4A0598F7"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联系人：赵纳</w:t>
      </w:r>
      <w:r>
        <w:rPr>
          <w:rFonts w:asciiTheme="minorEastAsia" w:eastAsiaTheme="minorEastAsia" w:hAnsiTheme="minorEastAsia"/>
          <w:sz w:val="24"/>
        </w:rPr>
        <w:t xml:space="preserve"> </w:t>
      </w:r>
    </w:p>
    <w:p w14:paraId="53CA27B4" w14:textId="77777777" w:rsidR="00F03A82" w:rsidRDefault="00F03A82">
      <w:pPr>
        <w:rPr>
          <w:sz w:val="24"/>
        </w:rPr>
      </w:pPr>
    </w:p>
    <w:p w14:paraId="0D61F46B" w14:textId="77777777" w:rsidR="00F03A82" w:rsidRDefault="00000000">
      <w:pPr>
        <w:rPr>
          <w:sz w:val="24"/>
        </w:rPr>
      </w:pPr>
      <w:r>
        <w:rPr>
          <w:rFonts w:hint="eastAsia"/>
          <w:sz w:val="24"/>
        </w:rPr>
        <w:t>乙</w:t>
      </w:r>
      <w:r>
        <w:rPr>
          <w:rFonts w:hint="eastAsia"/>
          <w:sz w:val="24"/>
        </w:rPr>
        <w:t xml:space="preserve"> </w:t>
      </w:r>
      <w:r>
        <w:rPr>
          <w:rFonts w:hint="eastAsia"/>
          <w:sz w:val="24"/>
        </w:rPr>
        <w:t>方：</w:t>
      </w:r>
      <w:r>
        <w:rPr>
          <w:rFonts w:hint="eastAsia"/>
        </w:rPr>
        <w:t>成都大艺梦享文化传播有限公司</w:t>
      </w:r>
    </w:p>
    <w:p w14:paraId="01EA600D" w14:textId="77777777" w:rsidR="00F03A82" w:rsidRDefault="00000000">
      <w:pPr>
        <w:rPr>
          <w:sz w:val="24"/>
        </w:rPr>
      </w:pPr>
      <w:r>
        <w:rPr>
          <w:rFonts w:hint="eastAsia"/>
          <w:sz w:val="24"/>
        </w:rPr>
        <w:t>地</w:t>
      </w:r>
      <w:r>
        <w:rPr>
          <w:rFonts w:hint="eastAsia"/>
          <w:sz w:val="24"/>
        </w:rPr>
        <w:t xml:space="preserve"> </w:t>
      </w:r>
      <w:r>
        <w:rPr>
          <w:rFonts w:hint="eastAsia"/>
          <w:sz w:val="24"/>
        </w:rPr>
        <w:t>址：</w:t>
      </w:r>
      <w:r>
        <w:rPr>
          <w:sz w:val="24"/>
        </w:rPr>
        <w:t xml:space="preserve"> </w:t>
      </w:r>
      <w:r>
        <w:rPr>
          <w:rFonts w:hint="eastAsia"/>
        </w:rPr>
        <w:t>四川省成都市武侯区洗面桥街</w:t>
      </w:r>
      <w:r>
        <w:rPr>
          <w:rFonts w:hint="eastAsia"/>
        </w:rPr>
        <w:t>33</w:t>
      </w:r>
      <w:r>
        <w:rPr>
          <w:rFonts w:hint="eastAsia"/>
        </w:rPr>
        <w:t>号</w:t>
      </w:r>
      <w:r>
        <w:rPr>
          <w:rFonts w:hint="eastAsia"/>
        </w:rPr>
        <w:t>1-1</w:t>
      </w:r>
      <w:r>
        <w:rPr>
          <w:rFonts w:hint="eastAsia"/>
        </w:rPr>
        <w:t>栋</w:t>
      </w:r>
      <w:r>
        <w:rPr>
          <w:rFonts w:hint="eastAsia"/>
        </w:rPr>
        <w:t>(A1011)</w:t>
      </w:r>
    </w:p>
    <w:p w14:paraId="17738886" w14:textId="77777777" w:rsidR="00F03A82" w:rsidRDefault="00000000">
      <w:pPr>
        <w:rPr>
          <w:sz w:val="24"/>
        </w:rPr>
      </w:pPr>
      <w:r>
        <w:rPr>
          <w:rFonts w:hint="eastAsia"/>
          <w:sz w:val="24"/>
        </w:rPr>
        <w:t>电</w:t>
      </w:r>
      <w:r>
        <w:rPr>
          <w:rFonts w:hint="eastAsia"/>
          <w:sz w:val="24"/>
        </w:rPr>
        <w:t xml:space="preserve"> </w:t>
      </w:r>
      <w:r>
        <w:rPr>
          <w:rFonts w:hint="eastAsia"/>
          <w:sz w:val="24"/>
        </w:rPr>
        <w:t>话：</w:t>
      </w:r>
      <w:r>
        <w:rPr>
          <w:rFonts w:hint="eastAsia"/>
          <w:sz w:val="24"/>
        </w:rPr>
        <w:t>17716113632</w:t>
      </w:r>
    </w:p>
    <w:p w14:paraId="46494031" w14:textId="77777777" w:rsidR="00F03A82" w:rsidRDefault="00000000">
      <w:pPr>
        <w:rPr>
          <w:sz w:val="24"/>
          <w:u w:val="single"/>
        </w:rPr>
      </w:pPr>
      <w:r>
        <w:rPr>
          <w:rFonts w:hint="eastAsia"/>
          <w:sz w:val="24"/>
        </w:rPr>
        <w:t>联系人：</w:t>
      </w:r>
      <w:r>
        <w:rPr>
          <w:sz w:val="24"/>
          <w:u w:val="single"/>
        </w:rPr>
        <w:t xml:space="preserve"> </w:t>
      </w:r>
      <w:r>
        <w:rPr>
          <w:rFonts w:hint="eastAsia"/>
          <w:sz w:val="24"/>
          <w:u w:val="single"/>
        </w:rPr>
        <w:t>闫怡梦</w:t>
      </w:r>
    </w:p>
    <w:p w14:paraId="03307B89" w14:textId="77777777" w:rsidR="00F03A82" w:rsidRDefault="00F03A82">
      <w:pPr>
        <w:rPr>
          <w:b/>
          <w:bCs/>
          <w:sz w:val="24"/>
        </w:rPr>
      </w:pPr>
    </w:p>
    <w:p w14:paraId="75FFE12D" w14:textId="77777777" w:rsidR="00F03A82" w:rsidRDefault="00000000">
      <w:pPr>
        <w:rPr>
          <w:sz w:val="24"/>
        </w:rPr>
      </w:pPr>
      <w:r>
        <w:rPr>
          <w:rFonts w:hint="eastAsia"/>
          <w:sz w:val="24"/>
        </w:rPr>
        <w:t>鉴于：</w:t>
      </w:r>
    </w:p>
    <w:p w14:paraId="746E7435" w14:textId="77777777" w:rsidR="00F03A82" w:rsidRDefault="00000000">
      <w:pPr>
        <w:rPr>
          <w:sz w:val="24"/>
        </w:rPr>
      </w:pPr>
      <w:r>
        <w:rPr>
          <w:rFonts w:hint="eastAsia"/>
          <w:sz w:val="24"/>
        </w:rPr>
        <w:t>甲乙双方根据《中华人民共和国合同法》及相关法律、法规规定，本着平等、自愿、诚实信用、互惠互利的原则，经友好协商，达成本合同，以资共同遵守。</w:t>
      </w:r>
    </w:p>
    <w:p w14:paraId="4C6D0592" w14:textId="77777777" w:rsidR="00F03A82" w:rsidRDefault="00F03A82">
      <w:pPr>
        <w:rPr>
          <w:sz w:val="24"/>
        </w:rPr>
      </w:pPr>
    </w:p>
    <w:p w14:paraId="0D7B96AC" w14:textId="77777777" w:rsidR="00F03A82" w:rsidRDefault="00000000">
      <w:pPr>
        <w:numPr>
          <w:ilvl w:val="0"/>
          <w:numId w:val="1"/>
        </w:numPr>
        <w:rPr>
          <w:b/>
          <w:bCs/>
          <w:sz w:val="24"/>
        </w:rPr>
      </w:pPr>
      <w:r>
        <w:rPr>
          <w:rFonts w:hint="eastAsia"/>
          <w:b/>
          <w:bCs/>
          <w:sz w:val="24"/>
        </w:rPr>
        <w:t>、服务内容</w:t>
      </w:r>
    </w:p>
    <w:p w14:paraId="594FF5C9" w14:textId="77777777" w:rsidR="00F03A82" w:rsidRDefault="00000000">
      <w:pPr>
        <w:numPr>
          <w:ilvl w:val="0"/>
          <w:numId w:val="2"/>
        </w:numPr>
        <w:jc w:val="left"/>
        <w:rPr>
          <w:rFonts w:asciiTheme="minorEastAsia" w:eastAsiaTheme="minorEastAsia" w:hAnsiTheme="minorEastAsia" w:hint="eastAsia"/>
          <w:sz w:val="24"/>
        </w:rPr>
      </w:pPr>
      <w:r>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442991F0" wp14:editId="09D07C28">
                <wp:simplePos x="0" y="0"/>
                <wp:positionH relativeFrom="column">
                  <wp:posOffset>1132205</wp:posOffset>
                </wp:positionH>
                <wp:positionV relativeFrom="paragraph">
                  <wp:posOffset>144145</wp:posOffset>
                </wp:positionV>
                <wp:extent cx="19050" cy="9525"/>
                <wp:effectExtent l="0" t="0" r="0" b="0"/>
                <wp:wrapNone/>
                <wp:docPr id="1" name="直接连接符 1"/>
                <wp:cNvGraphicFramePr/>
                <a:graphic xmlns:a="http://schemas.openxmlformats.org/drawingml/2006/main">
                  <a:graphicData uri="http://schemas.microsoft.com/office/word/2010/wordprocessingShape">
                    <wps:wsp>
                      <wps:cNvCnPr/>
                      <wps:spPr bwMode="auto">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w:pict>
              <v:line w14:anchorId="4E90D4DC"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89.15pt,11.35pt" to="90.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" strokecolor="#5b9bd5" strokeweight=".5pt"/>
            </w:pict>
          </mc:Fallback>
        </mc:AlternateContent>
      </w:r>
      <w:r>
        <w:rPr>
          <w:rFonts w:asciiTheme="minorEastAsia" w:eastAsiaTheme="minorEastAsia" w:hAnsiTheme="minorEastAsia" w:hint="eastAsia"/>
          <w:sz w:val="24"/>
        </w:rPr>
        <w:t>服务内容：甲方委托乙方就</w:t>
      </w:r>
      <w:r>
        <w:rPr>
          <w:rFonts w:asciiTheme="minorEastAsia" w:eastAsiaTheme="minorEastAsia" w:hAnsiTheme="minorEastAsia" w:hint="eastAsia"/>
          <w:sz w:val="24"/>
          <w:u w:val="single"/>
        </w:rPr>
        <w:t>全新升级壳牌威澎系列燃油上市发布会</w:t>
      </w:r>
      <w:r>
        <w:rPr>
          <w:rFonts w:asciiTheme="minorEastAsia" w:eastAsiaTheme="minorEastAsia" w:hAnsiTheme="minorEastAsia" w:hint="eastAsia"/>
          <w:sz w:val="24"/>
        </w:rPr>
        <w:t>项目招聘等岗位人员，具体数量及日期以附件清单为准。</w:t>
      </w:r>
    </w:p>
    <w:p w14:paraId="6B950DCA" w14:textId="77777777" w:rsidR="00F03A82" w:rsidRDefault="00000000">
      <w:pPr>
        <w:numPr>
          <w:ilvl w:val="0"/>
          <w:numId w:val="2"/>
        </w:numPr>
        <w:jc w:val="left"/>
        <w:rPr>
          <w:rFonts w:asciiTheme="minorEastAsia" w:eastAsiaTheme="minorEastAsia" w:hAnsiTheme="minorEastAsia" w:hint="eastAsia"/>
          <w:sz w:val="24"/>
        </w:rPr>
      </w:pPr>
      <w:r>
        <w:rPr>
          <w:rFonts w:asciiTheme="minorEastAsia" w:eastAsiaTheme="minorEastAsia" w:hAnsiTheme="minorEastAsia" w:hint="eastAsia"/>
          <w:sz w:val="24"/>
        </w:rPr>
        <w:t>活动日期：</w:t>
      </w:r>
      <w:r>
        <w:rPr>
          <w:rFonts w:asciiTheme="minorEastAsia" w:eastAsiaTheme="minorEastAsia" w:hAnsiTheme="minorEastAsia"/>
          <w:sz w:val="24"/>
          <w:lang w:val="zh-CN"/>
        </w:rPr>
        <w:t>2024年</w:t>
      </w:r>
      <w:r>
        <w:rPr>
          <w:rFonts w:asciiTheme="minorEastAsia" w:eastAsiaTheme="minorEastAsia" w:hAnsiTheme="minorEastAsia" w:hint="eastAsia"/>
          <w:sz w:val="24"/>
          <w:lang w:val="zh-CN"/>
        </w:rPr>
        <w:t>10</w:t>
      </w:r>
      <w:r>
        <w:rPr>
          <w:rFonts w:asciiTheme="minorEastAsia" w:eastAsiaTheme="minorEastAsia" w:hAnsiTheme="minorEastAsia"/>
          <w:sz w:val="24"/>
          <w:lang w:val="zh-CN"/>
        </w:rPr>
        <w:t>月16日</w:t>
      </w:r>
      <w:r>
        <w:rPr>
          <w:rFonts w:asciiTheme="minorEastAsia" w:eastAsiaTheme="minorEastAsia" w:hAnsiTheme="minorEastAsia" w:hint="eastAsia"/>
          <w:sz w:val="24"/>
          <w:lang w:val="zh-CN"/>
        </w:rPr>
        <w:t>17日</w:t>
      </w:r>
    </w:p>
    <w:p w14:paraId="503EDC31" w14:textId="77777777" w:rsidR="00F03A82" w:rsidRDefault="00000000">
      <w:pPr>
        <w:numPr>
          <w:ilvl w:val="0"/>
          <w:numId w:val="2"/>
        </w:numPr>
        <w:rPr>
          <w:rFonts w:asciiTheme="minorEastAsia" w:eastAsiaTheme="minorEastAsia" w:hAnsiTheme="minorEastAsia" w:hint="eastAsia"/>
          <w:sz w:val="24"/>
        </w:rPr>
      </w:pPr>
      <w:r>
        <w:rPr>
          <w:rFonts w:asciiTheme="minorEastAsia" w:eastAsiaTheme="minorEastAsia" w:hAnsiTheme="minorEastAsia" w:hint="eastAsia"/>
          <w:sz w:val="24"/>
        </w:rPr>
        <w:t>活动地点：延长壳牌加油站</w:t>
      </w:r>
    </w:p>
    <w:p w14:paraId="16922D87" w14:textId="77777777" w:rsidR="00F03A82" w:rsidRDefault="00F03A82">
      <w:pPr>
        <w:rPr>
          <w:sz w:val="24"/>
        </w:rPr>
      </w:pPr>
    </w:p>
    <w:p w14:paraId="00E952D6" w14:textId="77777777" w:rsidR="00F03A82" w:rsidRDefault="00000000">
      <w:pPr>
        <w:numPr>
          <w:ilvl w:val="0"/>
          <w:numId w:val="3"/>
        </w:numPr>
        <w:rPr>
          <w:b/>
          <w:bCs/>
          <w:sz w:val="24"/>
        </w:rPr>
      </w:pPr>
      <w:r>
        <w:rPr>
          <w:rFonts w:hint="eastAsia"/>
          <w:b/>
          <w:bCs/>
          <w:sz w:val="24"/>
        </w:rPr>
        <w:t>、活动要求</w:t>
      </w:r>
    </w:p>
    <w:p w14:paraId="121B9777"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1.乙方同意根据甲方的工作需要而进行人员安排，甲方需要七</w:t>
      </w:r>
      <w:r>
        <w:rPr>
          <w:rFonts w:asciiTheme="minorEastAsia" w:eastAsiaTheme="minorEastAsia" w:hAnsiTheme="minorEastAsia" w:hint="eastAsia"/>
          <w:sz w:val="24"/>
          <w:lang w:val="zh-CN"/>
        </w:rPr>
        <w:t>位街舞舞蹈演员</w:t>
      </w:r>
      <w:r>
        <w:rPr>
          <w:rFonts w:asciiTheme="minorEastAsia" w:eastAsiaTheme="minorEastAsia" w:hAnsiTheme="minorEastAsia" w:hint="eastAsia"/>
          <w:sz w:val="24"/>
        </w:rPr>
        <w:t>（四男三女），甲方要求舞蹈演员在10</w:t>
      </w:r>
      <w:r>
        <w:rPr>
          <w:rFonts w:asciiTheme="minorEastAsia" w:eastAsiaTheme="minorEastAsia" w:hAnsiTheme="minorEastAsia" w:hint="eastAsia"/>
          <w:sz w:val="24"/>
          <w:lang w:val="zh-CN"/>
        </w:rPr>
        <w:t>月16日17日到达活动现场进行拍摄，</w:t>
      </w:r>
      <w:r>
        <w:rPr>
          <w:rFonts w:asciiTheme="minorEastAsia" w:eastAsiaTheme="minorEastAsia" w:hAnsiTheme="minorEastAsia" w:hint="eastAsia"/>
          <w:sz w:val="24"/>
        </w:rPr>
        <w:t>乙方以甲方利益为本，高效的完成工作任务。</w:t>
      </w:r>
    </w:p>
    <w:p w14:paraId="478E5ACA"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2.乙方所提供的人员需要按照甲方要求执行。</w:t>
      </w:r>
    </w:p>
    <w:p w14:paraId="3B3DE351" w14:textId="77777777" w:rsidR="00F03A82" w:rsidRDefault="00F03A82">
      <w:pPr>
        <w:rPr>
          <w:sz w:val="24"/>
        </w:rPr>
      </w:pPr>
    </w:p>
    <w:p w14:paraId="50467A2F" w14:textId="77777777" w:rsidR="00F03A82" w:rsidRDefault="00000000">
      <w:pPr>
        <w:rPr>
          <w:sz w:val="24"/>
        </w:rPr>
      </w:pPr>
      <w:r>
        <w:rPr>
          <w:rFonts w:hint="eastAsia"/>
          <w:b/>
          <w:bCs/>
          <w:sz w:val="24"/>
        </w:rPr>
        <w:t>第三条、费用及付款方式</w:t>
      </w:r>
    </w:p>
    <w:p w14:paraId="3ACA3C29" w14:textId="77777777" w:rsidR="00F03A82"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按具体服务人员服务类型结算，街舞舞蹈演员每人</w:t>
      </w:r>
      <w:r>
        <w:rPr>
          <w:rFonts w:asciiTheme="minorEastAsia" w:eastAsiaTheme="minorEastAsia" w:hAnsiTheme="minorEastAsia" w:cs="宋体" w:hint="eastAsia"/>
          <w:sz w:val="24"/>
          <w:u w:val="single"/>
        </w:rPr>
        <w:t xml:space="preserve"> 800.00</w:t>
      </w:r>
      <w:r>
        <w:rPr>
          <w:rFonts w:asciiTheme="minorEastAsia" w:eastAsiaTheme="minorEastAsia" w:hAnsiTheme="minorEastAsia" w:cs="宋体" w:hint="eastAsia"/>
          <w:sz w:val="24"/>
          <w:u w:val="single"/>
          <w:lang w:val="zh-CN"/>
        </w:rPr>
        <w:t xml:space="preserve"> </w:t>
      </w:r>
      <w:r>
        <w:rPr>
          <w:rFonts w:asciiTheme="minorEastAsia" w:eastAsiaTheme="minorEastAsia" w:hAnsiTheme="minorEastAsia" w:cs="宋体" w:hint="eastAsia"/>
          <w:sz w:val="24"/>
          <w:lang w:val="zh-CN"/>
        </w:rPr>
        <w:t>元（人民币</w:t>
      </w:r>
      <w:r>
        <w:rPr>
          <w:rFonts w:asciiTheme="minorEastAsia" w:eastAsiaTheme="minorEastAsia" w:hAnsiTheme="minorEastAsia" w:cs="宋体" w:hint="eastAsia"/>
          <w:sz w:val="24"/>
          <w:u w:val="single"/>
          <w:lang w:val="zh-CN"/>
        </w:rPr>
        <w:t xml:space="preserve"> 捌佰</w:t>
      </w:r>
      <w:r>
        <w:rPr>
          <w:rFonts w:asciiTheme="minorEastAsia" w:eastAsiaTheme="minorEastAsia" w:hAnsiTheme="minorEastAsia" w:cs="宋体" w:hint="eastAsia"/>
          <w:sz w:val="24"/>
          <w:lang w:val="zh-CN"/>
        </w:rPr>
        <w:t xml:space="preserve"> 元整</w:t>
      </w:r>
      <w:r>
        <w:rPr>
          <w:rFonts w:asciiTheme="minorEastAsia" w:eastAsiaTheme="minorEastAsia" w:hAnsiTheme="minorEastAsia" w:cs="宋体" w:hint="eastAsia"/>
          <w:sz w:val="24"/>
        </w:rPr>
        <w:t>），男主</w:t>
      </w:r>
      <w:r>
        <w:rPr>
          <w:rFonts w:asciiTheme="minorEastAsia" w:eastAsiaTheme="minorEastAsia" w:hAnsiTheme="minorEastAsia" w:cs="宋体" w:hint="eastAsia"/>
          <w:sz w:val="24"/>
          <w:u w:val="single"/>
        </w:rPr>
        <w:t xml:space="preserve"> 1300.00</w:t>
      </w:r>
      <w:r>
        <w:rPr>
          <w:rFonts w:asciiTheme="minorEastAsia" w:eastAsiaTheme="minorEastAsia" w:hAnsiTheme="minorEastAsia" w:cs="宋体" w:hint="eastAsia"/>
          <w:sz w:val="24"/>
          <w:lang w:val="zh-CN"/>
        </w:rPr>
        <w:t>元（人民币</w:t>
      </w:r>
      <w:r>
        <w:rPr>
          <w:rFonts w:asciiTheme="minorEastAsia" w:eastAsiaTheme="minorEastAsia" w:hAnsiTheme="minorEastAsia" w:cs="宋体" w:hint="eastAsia"/>
          <w:sz w:val="24"/>
          <w:u w:val="single"/>
          <w:lang w:val="zh-CN"/>
        </w:rPr>
        <w:t>贰仟叁佰</w:t>
      </w:r>
      <w:r>
        <w:rPr>
          <w:rFonts w:asciiTheme="minorEastAsia" w:eastAsiaTheme="minorEastAsia" w:hAnsiTheme="minorEastAsia" w:cs="宋体" w:hint="eastAsia"/>
          <w:sz w:val="24"/>
          <w:lang w:val="zh-CN"/>
        </w:rPr>
        <w:t>元整）</w:t>
      </w:r>
      <w:r>
        <w:rPr>
          <w:rFonts w:asciiTheme="minorEastAsia" w:eastAsiaTheme="minorEastAsia" w:hAnsiTheme="minorEastAsia" w:cs="宋体" w:hint="eastAsia"/>
          <w:sz w:val="24"/>
        </w:rPr>
        <w:t>，结算按两天实际到场人数核实，报价含增值税专用发票，详见附表。</w:t>
      </w:r>
    </w:p>
    <w:p w14:paraId="7B72B7A0" w14:textId="77777777" w:rsidR="00F03A82"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2.付款方式：双方签订合同总金额为人民币</w:t>
      </w:r>
      <w:r>
        <w:rPr>
          <w:rFonts w:asciiTheme="minorEastAsia" w:eastAsiaTheme="minorEastAsia" w:hAnsiTheme="minorEastAsia" w:cs="宋体" w:hint="eastAsia"/>
          <w:color w:val="000000"/>
          <w:sz w:val="22"/>
          <w:szCs w:val="22"/>
          <w:u w:val="single"/>
        </w:rPr>
        <w:t xml:space="preserve"> 12200.</w:t>
      </w:r>
      <w:r>
        <w:rPr>
          <w:rFonts w:asciiTheme="minorEastAsia" w:eastAsiaTheme="minorEastAsia" w:hAnsiTheme="minorEastAsia" w:cs="宋体" w:hint="eastAsia"/>
          <w:sz w:val="24"/>
          <w:u w:val="single"/>
          <w:lang w:val="zh-CN"/>
        </w:rPr>
        <w:t>00</w:t>
      </w:r>
      <w:r>
        <w:rPr>
          <w:rFonts w:asciiTheme="minorEastAsia" w:eastAsiaTheme="minorEastAsia" w:hAnsiTheme="minorEastAsia" w:cs="宋体" w:hint="eastAsia"/>
          <w:color w:val="000000"/>
          <w:sz w:val="22"/>
          <w:szCs w:val="22"/>
          <w:u w:val="single"/>
        </w:rPr>
        <w:t xml:space="preserve"> </w:t>
      </w:r>
      <w:r>
        <w:rPr>
          <w:rFonts w:asciiTheme="minorEastAsia" w:eastAsiaTheme="minorEastAsia" w:hAnsiTheme="minorEastAsia" w:cs="宋体" w:hint="eastAsia"/>
          <w:sz w:val="24"/>
        </w:rPr>
        <w:t>元（人民币</w:t>
      </w:r>
      <w:r>
        <w:rPr>
          <w:rFonts w:asciiTheme="minorEastAsia" w:eastAsiaTheme="minorEastAsia" w:hAnsiTheme="minorEastAsia" w:cs="宋体" w:hint="eastAsia"/>
          <w:sz w:val="24"/>
          <w:u w:val="single"/>
        </w:rPr>
        <w:t xml:space="preserve"> 壹萬贰仟贰佰元  </w:t>
      </w:r>
      <w:r>
        <w:rPr>
          <w:rFonts w:asciiTheme="minorEastAsia" w:eastAsiaTheme="minorEastAsia" w:hAnsiTheme="minorEastAsia" w:cs="宋体" w:hint="eastAsia"/>
          <w:sz w:val="24"/>
        </w:rPr>
        <w:t>元整），合同签订后，甲方先支付</w:t>
      </w:r>
      <w:r>
        <w:rPr>
          <w:rFonts w:asciiTheme="minorEastAsia" w:eastAsiaTheme="minorEastAsia" w:hAnsiTheme="minorEastAsia" w:cs="宋体" w:hint="eastAsia"/>
          <w:sz w:val="24"/>
          <w:u w:val="single"/>
        </w:rPr>
        <w:t xml:space="preserve"> 6100</w:t>
      </w:r>
      <w:r>
        <w:rPr>
          <w:rFonts w:asciiTheme="minorEastAsia" w:eastAsiaTheme="minorEastAsia" w:hAnsiTheme="minorEastAsia" w:cs="宋体" w:hint="eastAsia"/>
          <w:sz w:val="24"/>
        </w:rPr>
        <w:t>元（人民币</w:t>
      </w:r>
      <w:r>
        <w:rPr>
          <w:rFonts w:asciiTheme="minorEastAsia" w:eastAsiaTheme="minorEastAsia" w:hAnsiTheme="minorEastAsia" w:cs="宋体" w:hint="eastAsia"/>
          <w:sz w:val="24"/>
          <w:u w:val="single"/>
          <w:lang w:val="zh-CN"/>
        </w:rPr>
        <w:t xml:space="preserve"> 陆仟壹佰</w:t>
      </w:r>
      <w:r>
        <w:rPr>
          <w:rFonts w:asciiTheme="minorEastAsia" w:eastAsiaTheme="minorEastAsia" w:hAnsiTheme="minorEastAsia" w:cs="宋体" w:hint="eastAsia"/>
          <w:sz w:val="24"/>
        </w:rPr>
        <w:t xml:space="preserve">元整）作为预付款，余款 </w:t>
      </w:r>
      <w:r>
        <w:rPr>
          <w:rFonts w:asciiTheme="minorEastAsia" w:eastAsiaTheme="minorEastAsia" w:hAnsiTheme="minorEastAsia" w:cs="宋体" w:hint="eastAsia"/>
          <w:sz w:val="24"/>
          <w:u w:val="single"/>
        </w:rPr>
        <w:t xml:space="preserve"> 6100 </w:t>
      </w:r>
      <w:r>
        <w:rPr>
          <w:rFonts w:asciiTheme="minorEastAsia" w:eastAsiaTheme="minorEastAsia" w:hAnsiTheme="minorEastAsia" w:cs="宋体" w:hint="eastAsia"/>
          <w:sz w:val="24"/>
        </w:rPr>
        <w:t>元（人民币</w:t>
      </w:r>
      <w:r>
        <w:rPr>
          <w:rFonts w:asciiTheme="minorEastAsia" w:eastAsiaTheme="minorEastAsia" w:hAnsiTheme="minorEastAsia" w:cs="宋体" w:hint="eastAsia"/>
          <w:sz w:val="24"/>
          <w:u w:val="single"/>
        </w:rPr>
        <w:t xml:space="preserve"> 陆仟壹佰 </w:t>
      </w:r>
      <w:r>
        <w:rPr>
          <w:rFonts w:asciiTheme="minorEastAsia" w:eastAsiaTheme="minorEastAsia" w:hAnsiTheme="minorEastAsia" w:cs="宋体" w:hint="eastAsia"/>
          <w:sz w:val="24"/>
        </w:rPr>
        <w:t>元整）在活动结束,</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甲方收到乙方提供的全额增值税专用发票后，于7个工作日内一次性付清。</w:t>
      </w:r>
    </w:p>
    <w:p w14:paraId="7AFB60F2" w14:textId="77777777" w:rsidR="00F03A82" w:rsidRDefault="00000000">
      <w:pPr>
        <w:numPr>
          <w:ilvl w:val="0"/>
          <w:numId w:val="2"/>
        </w:numPr>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乙方收款账户信息   </w:t>
      </w:r>
    </w:p>
    <w:p w14:paraId="18C30C71" w14:textId="77777777" w:rsidR="00F03A82" w:rsidRDefault="00000000">
      <w:pPr>
        <w:ind w:firstLine="400"/>
        <w:rPr>
          <w:rFonts w:asciiTheme="minorEastAsia" w:eastAsiaTheme="minorEastAsia" w:hAnsiTheme="minorEastAsia" w:cs="宋体" w:hint="eastAsia"/>
          <w:sz w:val="24"/>
        </w:rPr>
      </w:pPr>
      <w:r>
        <w:rPr>
          <w:rFonts w:asciiTheme="minorEastAsia" w:eastAsiaTheme="minorEastAsia" w:hAnsiTheme="minorEastAsia" w:cs="宋体" w:hint="eastAsia"/>
          <w:sz w:val="24"/>
        </w:rPr>
        <w:t>开户名：</w:t>
      </w:r>
      <w:r>
        <w:rPr>
          <w:rFonts w:hint="eastAsia"/>
        </w:rPr>
        <w:t>成都大艺梦享文化传播有限公司</w:t>
      </w:r>
    </w:p>
    <w:p w14:paraId="0DC10D84" w14:textId="77777777" w:rsidR="00F03A82" w:rsidRDefault="00000000">
      <w:pPr>
        <w:ind w:firstLine="400"/>
        <w:rPr>
          <w:rFonts w:asciiTheme="minorEastAsia" w:eastAsiaTheme="minorEastAsia" w:hAnsiTheme="minorEastAsia" w:cs="宋体" w:hint="eastAsia"/>
          <w:sz w:val="24"/>
        </w:rPr>
      </w:pPr>
      <w:r>
        <w:rPr>
          <w:rFonts w:asciiTheme="minorEastAsia" w:eastAsiaTheme="minorEastAsia" w:hAnsiTheme="minorEastAsia" w:cs="宋体" w:hint="eastAsia"/>
          <w:sz w:val="24"/>
        </w:rPr>
        <w:t>开户行：</w:t>
      </w:r>
      <w:r>
        <w:rPr>
          <w:rFonts w:hint="eastAsia"/>
        </w:rPr>
        <w:t>中国工商银行股份有限公司成都晋康街支行</w:t>
      </w:r>
    </w:p>
    <w:p w14:paraId="423038DA" w14:textId="77777777" w:rsidR="00F03A82" w:rsidRDefault="00000000">
      <w:pPr>
        <w:ind w:firstLine="400"/>
        <w:rPr>
          <w:rFonts w:asciiTheme="minorEastAsia" w:eastAsiaTheme="minorEastAsia" w:hAnsiTheme="minorEastAsia" w:cs="宋体" w:hint="eastAsia"/>
          <w:sz w:val="24"/>
        </w:rPr>
      </w:pPr>
      <w:r>
        <w:rPr>
          <w:rFonts w:asciiTheme="minorEastAsia" w:eastAsiaTheme="minorEastAsia" w:hAnsiTheme="minorEastAsia" w:cs="宋体" w:hint="eastAsia"/>
          <w:sz w:val="24"/>
        </w:rPr>
        <w:t>账  号：</w:t>
      </w:r>
      <w:r>
        <w:rPr>
          <w:rFonts w:hint="eastAsia"/>
        </w:rPr>
        <w:t>4402204609100147607</w:t>
      </w:r>
    </w:p>
    <w:p w14:paraId="4F01CA01" w14:textId="77777777" w:rsidR="00F03A82" w:rsidRDefault="00F03A82">
      <w:pPr>
        <w:rPr>
          <w:sz w:val="24"/>
        </w:rPr>
      </w:pPr>
    </w:p>
    <w:p w14:paraId="12AF54CB" w14:textId="77777777" w:rsidR="00F03A82" w:rsidRDefault="00000000">
      <w:pPr>
        <w:rPr>
          <w:sz w:val="24"/>
        </w:rPr>
      </w:pPr>
      <w:r>
        <w:rPr>
          <w:rFonts w:hint="eastAsia"/>
          <w:b/>
          <w:bCs/>
          <w:sz w:val="24"/>
        </w:rPr>
        <w:t>第四条、甲方的权利及义务</w:t>
      </w:r>
    </w:p>
    <w:p w14:paraId="6B54ADB6"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1.甲方要求乙方按照本协议约定内容提供相应服务</w:t>
      </w:r>
    </w:p>
    <w:p w14:paraId="2A990146"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2.甲方与乙方提供的人员之间不存在任何的劳动关系，甲方无需按劳动方面的</w:t>
      </w:r>
      <w:r>
        <w:rPr>
          <w:rFonts w:asciiTheme="minorEastAsia" w:eastAsiaTheme="minorEastAsia" w:hAnsiTheme="minorEastAsia" w:hint="eastAsia"/>
          <w:sz w:val="24"/>
        </w:rPr>
        <w:lastRenderedPageBreak/>
        <w:t>法律法规对乙方提供的人员承担任何义务。</w:t>
      </w:r>
    </w:p>
    <w:p w14:paraId="4AD2B278"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3.甲方应按本合同约定支付活动款项。</w:t>
      </w:r>
    </w:p>
    <w:p w14:paraId="10158FD8" w14:textId="77777777" w:rsidR="00F03A82" w:rsidRDefault="00000000">
      <w:pPr>
        <w:rPr>
          <w:sz w:val="24"/>
        </w:rPr>
      </w:pPr>
      <w:r>
        <w:rPr>
          <w:rFonts w:asciiTheme="minorEastAsia" w:eastAsiaTheme="minorEastAsia" w:hAnsiTheme="minorEastAsia"/>
          <w:sz w:val="24"/>
        </w:rPr>
        <w:t>4</w:t>
      </w:r>
      <w:r>
        <w:rPr>
          <w:rFonts w:asciiTheme="minorEastAsia" w:eastAsiaTheme="minorEastAsia" w:hAnsiTheme="minorEastAsia" w:hint="eastAsia"/>
          <w:sz w:val="24"/>
        </w:rPr>
        <w:t>.甲</w:t>
      </w:r>
      <w:r>
        <w:rPr>
          <w:rFonts w:hint="eastAsia"/>
          <w:sz w:val="24"/>
        </w:rPr>
        <w:t>方有权在活动日前对乙方工作人员进行相关培训或告知注意事项</w:t>
      </w:r>
    </w:p>
    <w:p w14:paraId="263C1AAD" w14:textId="77777777" w:rsidR="00F03A82" w:rsidRDefault="00F03A82">
      <w:pPr>
        <w:rPr>
          <w:sz w:val="24"/>
        </w:rPr>
      </w:pPr>
    </w:p>
    <w:p w14:paraId="6AD82414" w14:textId="77777777" w:rsidR="00F03A82" w:rsidRDefault="00000000">
      <w:pPr>
        <w:rPr>
          <w:sz w:val="24"/>
        </w:rPr>
      </w:pPr>
      <w:r>
        <w:rPr>
          <w:rFonts w:hint="eastAsia"/>
          <w:b/>
          <w:bCs/>
          <w:sz w:val="24"/>
        </w:rPr>
        <w:t>第五条、乙方的权利及义务</w:t>
      </w:r>
    </w:p>
    <w:p w14:paraId="00ED0D2E"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1.乙方人员需服从甲方指定人员的安排与调度。</w:t>
      </w:r>
    </w:p>
    <w:p w14:paraId="211F3F35"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2.乙方确保在每场活动前准时到达活动现场并做好准备工作。</w:t>
      </w:r>
    </w:p>
    <w:p w14:paraId="46C88F26"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3.乙方提供的人员需按甲方规定的流程、内容完成工作。</w:t>
      </w:r>
    </w:p>
    <w:p w14:paraId="1728814E"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4.乙方提供的人员需按甲方的要求确保其提供的人员穿着本次活动服装，并且爱惜工作服装，注意不要将衣物污损。</w:t>
      </w:r>
    </w:p>
    <w:p w14:paraId="07F55D10"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5.甲方未按本合同规定支付乙方费用，乙方有权拒绝协助人员工作。</w:t>
      </w:r>
    </w:p>
    <w:p w14:paraId="6AFFEC7A"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乙方负责为其提供的人员购买意外伤害险。在合同约定的工作时间内，如有意外伤害发生，乙方由其购买的保险支付医疗及赔偿费用。甲方不需承担任何责任，也不需要支付任何费用。</w:t>
      </w:r>
    </w:p>
    <w:p w14:paraId="771FF0F7"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7.未经甲方书面许可，乙方人员不得将与活动中的任何保密内容以任何方式透露给第三方。</w:t>
      </w:r>
      <w:r>
        <w:rPr>
          <w:rFonts w:asciiTheme="minorEastAsia" w:eastAsiaTheme="minorEastAsia" w:hAnsiTheme="minorEastAsia"/>
          <w:sz w:val="24"/>
        </w:rPr>
        <w:t>乙方同意对所有保密信息进行严格保密</w:t>
      </w:r>
      <w:r>
        <w:rPr>
          <w:rFonts w:asciiTheme="minorEastAsia" w:eastAsiaTheme="minorEastAsia" w:hAnsiTheme="minorEastAsia" w:hint="eastAsia"/>
          <w:sz w:val="24"/>
        </w:rPr>
        <w:t>，</w:t>
      </w:r>
      <w:r>
        <w:rPr>
          <w:rFonts w:asciiTheme="minorEastAsia" w:eastAsiaTheme="minorEastAsia" w:hAnsiTheme="minorEastAsia"/>
          <w:sz w:val="24"/>
        </w:rPr>
        <w:t>除非本协议中另行允许或甲方明确另行允许</w:t>
      </w:r>
      <w:r>
        <w:rPr>
          <w:rFonts w:asciiTheme="minorEastAsia" w:eastAsiaTheme="minorEastAsia" w:hAnsiTheme="minorEastAsia" w:hint="eastAsia"/>
          <w:sz w:val="24"/>
        </w:rPr>
        <w:t>，否则由此产生的一切损失将由乙方承担。</w:t>
      </w:r>
    </w:p>
    <w:p w14:paraId="1F6C1C42"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 xml:space="preserve">8.乙方工作人员在工作过程中，需保持热情饱满的工作状态，保持良好的仪态，不能随意玩手机，不能随意闲逛离岗。 离岗休息前，要经甲方相关负责人批准后方可离开，并要在规定时间前返岗。 </w:t>
      </w:r>
    </w:p>
    <w:p w14:paraId="1184D271"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 xml:space="preserve">9.任何情况人，乙方人员不能与甲方、甲方客户、来宾、经销商或其它任何第三方产生肢体或言语冲突。否则，乙方需承担由此而导致甲方产生的损失并进行相应的赔偿。 </w:t>
      </w:r>
    </w:p>
    <w:p w14:paraId="2F89F0F3"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r>
        <w:rPr>
          <w:rFonts w:asciiTheme="minorEastAsia" w:eastAsiaTheme="minorEastAsia" w:hAnsiTheme="minorEastAsia" w:hint="eastAsia"/>
          <w:sz w:val="24"/>
        </w:rPr>
        <w:t xml:space="preserve">.如果乙方人员忘记带证件或证件丢失而导致不能进入活动场地的，乙方需自行进行证件的购买。 </w:t>
      </w:r>
    </w:p>
    <w:p w14:paraId="59ED6115"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11.乙方需保证其提供的人员外表整洁干净，身体外露部分没有纹身，不能有身体穿孔或染发颜色怪异。</w:t>
      </w:r>
    </w:p>
    <w:p w14:paraId="02B2556C" w14:textId="77777777" w:rsidR="00F03A82" w:rsidRDefault="00F03A82">
      <w:pPr>
        <w:rPr>
          <w:sz w:val="24"/>
        </w:rPr>
      </w:pPr>
    </w:p>
    <w:p w14:paraId="0E83CE34" w14:textId="77777777" w:rsidR="00F03A82" w:rsidRDefault="00000000">
      <w:pPr>
        <w:rPr>
          <w:b/>
          <w:bCs/>
          <w:sz w:val="24"/>
        </w:rPr>
      </w:pPr>
      <w:r>
        <w:rPr>
          <w:rFonts w:hint="eastAsia"/>
          <w:b/>
          <w:bCs/>
          <w:sz w:val="24"/>
        </w:rPr>
        <w:t>第六条、违约责任</w:t>
      </w:r>
    </w:p>
    <w:p w14:paraId="718A5CAF" w14:textId="77777777" w:rsidR="00F03A82" w:rsidRDefault="00000000">
      <w:pPr>
        <w:pStyle w:val="13"/>
        <w:numPr>
          <w:ilvl w:val="0"/>
          <w:numId w:val="4"/>
        </w:numPr>
        <w:rPr>
          <w:rFonts w:asciiTheme="minorEastAsia" w:eastAsiaTheme="minorEastAsia" w:hAnsiTheme="minorEastAsia" w:hint="eastAsia"/>
          <w:sz w:val="24"/>
        </w:rPr>
      </w:pPr>
      <w:r>
        <w:rPr>
          <w:rFonts w:asciiTheme="minorEastAsia" w:eastAsiaTheme="minorEastAsia" w:hAnsiTheme="minorEastAsia" w:hint="eastAsia"/>
          <w:sz w:val="24"/>
        </w:rPr>
        <w:t>任何一方违反本合同的其他约定而造成的所有损失由违约方负责赔偿并承担由此对守约方造成的一切损失。</w:t>
      </w:r>
    </w:p>
    <w:p w14:paraId="64129477" w14:textId="77777777" w:rsidR="00F03A82" w:rsidRDefault="00000000">
      <w:pPr>
        <w:pStyle w:val="13"/>
        <w:numPr>
          <w:ilvl w:val="0"/>
          <w:numId w:val="4"/>
        </w:numPr>
        <w:rPr>
          <w:rFonts w:asciiTheme="minorEastAsia" w:eastAsiaTheme="minorEastAsia" w:hAnsiTheme="minorEastAsia" w:hint="eastAsia"/>
          <w:sz w:val="24"/>
        </w:rPr>
      </w:pPr>
      <w:r>
        <w:rPr>
          <w:rFonts w:asciiTheme="minorEastAsia" w:eastAsiaTheme="minorEastAsia" w:hAnsiTheme="minorEastAsia" w:hint="eastAsia"/>
          <w:sz w:val="24"/>
        </w:rPr>
        <w:t xml:space="preserve">如因乙方人员未在要求时间内到岗或做好到岗准备，甲方因此而受的关联损失，乙方需承担责任并支付以上关损失费用。 </w:t>
      </w:r>
    </w:p>
    <w:p w14:paraId="37D692D7" w14:textId="77777777" w:rsidR="00F03A82" w:rsidRDefault="00000000">
      <w:pPr>
        <w:pStyle w:val="13"/>
        <w:numPr>
          <w:ilvl w:val="0"/>
          <w:numId w:val="4"/>
        </w:numPr>
        <w:rPr>
          <w:rFonts w:asciiTheme="minorEastAsia" w:eastAsiaTheme="minorEastAsia" w:hAnsiTheme="minorEastAsia" w:hint="eastAsia"/>
          <w:sz w:val="24"/>
        </w:rPr>
      </w:pPr>
      <w:r>
        <w:rPr>
          <w:rFonts w:asciiTheme="minorEastAsia" w:eastAsiaTheme="minorEastAsia" w:hAnsiTheme="minorEastAsia" w:hint="eastAsia"/>
          <w:sz w:val="24"/>
        </w:rPr>
        <w:t xml:space="preserve">如因乙方人员未能在要求的时间内到岗或返岗，乙方需马上寻找合适的替补补人员，并随担由此而产生的损失。 </w:t>
      </w:r>
    </w:p>
    <w:p w14:paraId="3DCC1461" w14:textId="77777777" w:rsidR="00F03A82" w:rsidRDefault="00000000">
      <w:pPr>
        <w:pStyle w:val="13"/>
        <w:numPr>
          <w:ilvl w:val="0"/>
          <w:numId w:val="4"/>
        </w:numPr>
        <w:rPr>
          <w:rFonts w:asciiTheme="minorEastAsia" w:eastAsiaTheme="minorEastAsia" w:hAnsiTheme="minorEastAsia" w:hint="eastAsia"/>
          <w:sz w:val="24"/>
        </w:rPr>
      </w:pPr>
      <w:r>
        <w:rPr>
          <w:rFonts w:asciiTheme="minorEastAsia" w:eastAsiaTheme="minorEastAsia" w:hAnsiTheme="minorEastAsia" w:hint="eastAsia"/>
          <w:sz w:val="24"/>
        </w:rPr>
        <w:t>如由于不可抗力而导致甲方或乙方不能履行合约，双方均不属于违约。不可抗力指不能预见，不能避免且不能克服的客观情况。如疫情，台风，洪水，火灾，地震，战争，罢工，政府管制等事件。</w:t>
      </w:r>
    </w:p>
    <w:p w14:paraId="593691A6" w14:textId="77777777" w:rsidR="00F03A82" w:rsidRDefault="00F03A82">
      <w:pPr>
        <w:rPr>
          <w:sz w:val="24"/>
        </w:rPr>
      </w:pPr>
    </w:p>
    <w:p w14:paraId="1D7E60ED" w14:textId="77777777" w:rsidR="00F03A82" w:rsidRDefault="00000000">
      <w:pPr>
        <w:rPr>
          <w:b/>
          <w:bCs/>
          <w:sz w:val="24"/>
        </w:rPr>
      </w:pPr>
      <w:r>
        <w:rPr>
          <w:rFonts w:hint="eastAsia"/>
          <w:b/>
          <w:bCs/>
          <w:sz w:val="24"/>
        </w:rPr>
        <w:t>第七条、法律适用与争议解决</w:t>
      </w:r>
    </w:p>
    <w:p w14:paraId="145932DA" w14:textId="77777777" w:rsidR="00F03A82" w:rsidRDefault="00000000">
      <w:pPr>
        <w:numPr>
          <w:ilvl w:val="0"/>
          <w:numId w:val="5"/>
        </w:numPr>
        <w:rPr>
          <w:rFonts w:asciiTheme="minorEastAsia" w:eastAsiaTheme="minorEastAsia" w:hAnsiTheme="minorEastAsia" w:hint="eastAsia"/>
          <w:sz w:val="24"/>
        </w:rPr>
      </w:pPr>
      <w:r>
        <w:rPr>
          <w:rFonts w:asciiTheme="minorEastAsia" w:eastAsiaTheme="minorEastAsia" w:hAnsiTheme="minorEastAsia" w:hint="eastAsia"/>
          <w:sz w:val="24"/>
        </w:rPr>
        <w:t>本合同的定力、效力、解释、履行和争议的解决均适用中华人民共和国法律。</w:t>
      </w:r>
    </w:p>
    <w:p w14:paraId="3D008500" w14:textId="77777777" w:rsidR="00F03A82" w:rsidRDefault="00000000">
      <w:pPr>
        <w:numPr>
          <w:ilvl w:val="0"/>
          <w:numId w:val="5"/>
        </w:numPr>
        <w:rPr>
          <w:rFonts w:asciiTheme="minorEastAsia" w:eastAsiaTheme="minorEastAsia" w:hAnsiTheme="minorEastAsia" w:hint="eastAsia"/>
          <w:sz w:val="24"/>
        </w:rPr>
      </w:pPr>
      <w:r>
        <w:rPr>
          <w:rFonts w:asciiTheme="minorEastAsia" w:eastAsiaTheme="minorEastAsia" w:hAnsiTheme="minorEastAsia" w:hint="eastAsia"/>
          <w:sz w:val="24"/>
        </w:rPr>
        <w:t>关于因本合同引起的、以及与本合同相关的一切纠纷，双方应友好协商解决。协商不成的，任何一方均可向甲方所住地有管辖权的法院提起诉讼。</w:t>
      </w:r>
    </w:p>
    <w:p w14:paraId="57FB267E" w14:textId="77777777" w:rsidR="00F03A82" w:rsidRDefault="00F03A82">
      <w:pPr>
        <w:rPr>
          <w:sz w:val="24"/>
        </w:rPr>
      </w:pPr>
    </w:p>
    <w:p w14:paraId="59009347" w14:textId="77777777" w:rsidR="00F03A82" w:rsidRDefault="00000000">
      <w:pPr>
        <w:rPr>
          <w:b/>
          <w:bCs/>
          <w:sz w:val="24"/>
        </w:rPr>
      </w:pPr>
      <w:r>
        <w:rPr>
          <w:rFonts w:hint="eastAsia"/>
          <w:b/>
          <w:bCs/>
          <w:sz w:val="24"/>
        </w:rPr>
        <w:t>第八条、其他</w:t>
      </w:r>
    </w:p>
    <w:p w14:paraId="061EED07"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lastRenderedPageBreak/>
        <w:t>1.本合同经双方授权代表签字或盖章后生效。</w:t>
      </w:r>
    </w:p>
    <w:p w14:paraId="6B77DE09"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2.本合同一式二份，甲、乙双方各执一份；</w:t>
      </w:r>
    </w:p>
    <w:p w14:paraId="708DFDD2"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3.对本合同的任何变更或补充，须经双方协商一致，并另行签订书面补充协议。</w:t>
      </w:r>
    </w:p>
    <w:p w14:paraId="124F598D" w14:textId="77777777" w:rsidR="00F03A82" w:rsidRDefault="00F03A82">
      <w:pPr>
        <w:rPr>
          <w:rFonts w:asciiTheme="minorEastAsia" w:eastAsiaTheme="minorEastAsia" w:hAnsiTheme="minorEastAsia" w:hint="eastAsia"/>
          <w:sz w:val="24"/>
        </w:rPr>
      </w:pPr>
    </w:p>
    <w:p w14:paraId="092B3E3B" w14:textId="77777777" w:rsidR="00F03A82" w:rsidRDefault="00F03A82">
      <w:pPr>
        <w:rPr>
          <w:rFonts w:asciiTheme="minorEastAsia" w:eastAsiaTheme="minorEastAsia" w:hAnsiTheme="minorEastAsia" w:hint="eastAsia"/>
          <w:sz w:val="24"/>
        </w:rPr>
      </w:pPr>
    </w:p>
    <w:p w14:paraId="5AFF2643" w14:textId="60D66612" w:rsidR="00F03A82" w:rsidRDefault="00000000">
      <w:pPr>
        <w:rPr>
          <w:rFonts w:asciiTheme="minorEastAsia" w:eastAsiaTheme="minorEastAsia" w:hAnsiTheme="minorEastAsia" w:hint="eastAsia"/>
          <w:sz w:val="24"/>
          <w:u w:val="single"/>
        </w:rPr>
      </w:pPr>
      <w:r>
        <w:rPr>
          <w:rFonts w:asciiTheme="minorEastAsia" w:eastAsiaTheme="minorEastAsia" w:hAnsiTheme="minorEastAsia" w:hint="eastAsia"/>
          <w:sz w:val="24"/>
        </w:rPr>
        <w:t>甲方：北京博源意嘉市场咨询有限公司    乙方：</w:t>
      </w:r>
      <w:r>
        <w:rPr>
          <w:rFonts w:hint="eastAsia"/>
        </w:rPr>
        <w:t>成都大艺梦享文化传播有限公司</w:t>
      </w:r>
    </w:p>
    <w:p w14:paraId="096BC776" w14:textId="77777777" w:rsidR="00F03A82" w:rsidRDefault="00F03A82">
      <w:pPr>
        <w:rPr>
          <w:rFonts w:asciiTheme="minorEastAsia" w:eastAsiaTheme="minorEastAsia" w:hAnsiTheme="minorEastAsia" w:hint="eastAsia"/>
          <w:sz w:val="24"/>
        </w:rPr>
      </w:pPr>
    </w:p>
    <w:p w14:paraId="06CFBBA8" w14:textId="737E7E57" w:rsidR="00F03A82" w:rsidRDefault="00000000">
      <w:pPr>
        <w:rPr>
          <w:rFonts w:asciiTheme="minorEastAsia" w:eastAsiaTheme="minorEastAsia" w:hAnsiTheme="minorEastAsia" w:hint="eastAsia"/>
          <w:sz w:val="24"/>
          <w:u w:val="single"/>
        </w:rPr>
      </w:pPr>
      <w:r>
        <w:rPr>
          <w:rFonts w:asciiTheme="minorEastAsia" w:eastAsiaTheme="minorEastAsia" w:hAnsiTheme="minorEastAsia" w:hint="eastAsia"/>
          <w:sz w:val="24"/>
        </w:rPr>
        <w:t>签约代表：</w:t>
      </w:r>
      <w:r w:rsidR="006D1410">
        <w:rPr>
          <w:rFonts w:asciiTheme="minorEastAsia" w:eastAsiaTheme="minorEastAsia" w:hAnsiTheme="minorEastAsia" w:hint="eastAsia"/>
          <w:sz w:val="24"/>
        </w:rPr>
        <w:t>赵纳</w:t>
      </w:r>
      <w:r>
        <w:rPr>
          <w:rFonts w:asciiTheme="minorEastAsia" w:eastAsiaTheme="minorEastAsia" w:hAnsiTheme="minorEastAsia" w:hint="eastAsia"/>
          <w:sz w:val="24"/>
        </w:rPr>
        <w:t xml:space="preserve">                              签约代表：</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闫怡梦</w:t>
      </w:r>
    </w:p>
    <w:p w14:paraId="6A5EE1F0" w14:textId="77777777"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14:paraId="550EA015" w14:textId="69191F41" w:rsidR="00F03A82"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 xml:space="preserve">日期：  </w:t>
      </w:r>
      <w:r w:rsidR="006D1410">
        <w:rPr>
          <w:rFonts w:asciiTheme="minorEastAsia" w:eastAsiaTheme="minorEastAsia" w:hAnsiTheme="minorEastAsia" w:hint="eastAsia"/>
          <w:sz w:val="24"/>
        </w:rPr>
        <w:t>2024</w:t>
      </w:r>
      <w:r>
        <w:rPr>
          <w:rFonts w:asciiTheme="minorEastAsia" w:eastAsiaTheme="minorEastAsia" w:hAnsiTheme="minorEastAsia" w:hint="eastAsia"/>
          <w:sz w:val="24"/>
        </w:rPr>
        <w:t xml:space="preserve">  年  </w:t>
      </w:r>
      <w:r w:rsidR="006D1410">
        <w:rPr>
          <w:rFonts w:asciiTheme="minorEastAsia" w:eastAsiaTheme="minorEastAsia" w:hAnsiTheme="minorEastAsia" w:hint="eastAsia"/>
          <w:sz w:val="24"/>
        </w:rPr>
        <w:t>10</w:t>
      </w:r>
      <w:r>
        <w:rPr>
          <w:rFonts w:asciiTheme="minorEastAsia" w:eastAsiaTheme="minorEastAsia" w:hAnsiTheme="minorEastAsia" w:hint="eastAsia"/>
          <w:sz w:val="24"/>
        </w:rPr>
        <w:t xml:space="preserve"> 月 </w:t>
      </w:r>
      <w:r w:rsidR="006D1410">
        <w:rPr>
          <w:rFonts w:asciiTheme="minorEastAsia" w:eastAsiaTheme="minorEastAsia" w:hAnsiTheme="minorEastAsia" w:hint="eastAsia"/>
          <w:sz w:val="24"/>
        </w:rPr>
        <w:t>17</w:t>
      </w:r>
      <w:r>
        <w:rPr>
          <w:rFonts w:asciiTheme="minorEastAsia" w:eastAsiaTheme="minorEastAsia" w:hAnsiTheme="minorEastAsia" w:hint="eastAsia"/>
          <w:sz w:val="24"/>
        </w:rPr>
        <w:t xml:space="preserve">  日              日期：2024年 </w:t>
      </w:r>
      <w:r>
        <w:rPr>
          <w:rFonts w:asciiTheme="minorEastAsia" w:hAnsiTheme="minorEastAsia" w:hint="eastAsia"/>
          <w:sz w:val="24"/>
        </w:rPr>
        <w:t>10</w:t>
      </w:r>
      <w:r>
        <w:rPr>
          <w:rFonts w:asciiTheme="minorEastAsia" w:eastAsiaTheme="minorEastAsia" w:hAnsiTheme="minorEastAsia" w:hint="eastAsia"/>
          <w:sz w:val="24"/>
        </w:rPr>
        <w:t xml:space="preserve">月 </w:t>
      </w:r>
      <w:r>
        <w:rPr>
          <w:rFonts w:asciiTheme="minorEastAsia" w:hAnsiTheme="minorEastAsia" w:hint="eastAsia"/>
          <w:sz w:val="24"/>
        </w:rPr>
        <w:t>17</w:t>
      </w:r>
      <w:r>
        <w:rPr>
          <w:rFonts w:asciiTheme="minorEastAsia" w:eastAsiaTheme="minorEastAsia" w:hAnsiTheme="minorEastAsia" w:hint="eastAsia"/>
          <w:sz w:val="24"/>
        </w:rPr>
        <w:t>日</w:t>
      </w:r>
    </w:p>
    <w:p w14:paraId="2D20350C" w14:textId="77777777" w:rsidR="00F03A82" w:rsidRDefault="00F03A82">
      <w:pPr>
        <w:rPr>
          <w:rFonts w:asciiTheme="minorEastAsia" w:eastAsiaTheme="minorEastAsia" w:hAnsiTheme="minorEastAsia" w:hint="eastAsia"/>
          <w:sz w:val="24"/>
        </w:rPr>
      </w:pPr>
    </w:p>
    <w:p w14:paraId="479FEB05" w14:textId="77777777" w:rsidR="00F03A82" w:rsidRDefault="00F03A82">
      <w:pPr>
        <w:rPr>
          <w:rFonts w:asciiTheme="minorEastAsia" w:eastAsiaTheme="minorEastAsia" w:hAnsiTheme="minorEastAsia" w:hint="eastAsia"/>
          <w:sz w:val="24"/>
        </w:rPr>
      </w:pPr>
    </w:p>
    <w:p w14:paraId="5D07FA9A" w14:textId="77777777" w:rsidR="00F03A82" w:rsidRDefault="00000000">
      <w:pPr>
        <w:rPr>
          <w:rFonts w:asciiTheme="minorEastAsia" w:eastAsiaTheme="minorEastAsia" w:hAnsiTheme="minorEastAsia" w:hint="eastAsia"/>
          <w:sz w:val="24"/>
        </w:rPr>
      </w:pPr>
      <w:r>
        <w:rPr>
          <w:noProof/>
        </w:rPr>
        <w:drawing>
          <wp:inline distT="0" distB="0" distL="114300" distR="114300" wp14:anchorId="1E37C773" wp14:editId="5CEB541A">
            <wp:extent cx="6186170" cy="1515110"/>
            <wp:effectExtent l="0" t="0" r="1143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186170" cy="1515110"/>
                    </a:xfrm>
                    <a:prstGeom prst="rect">
                      <a:avLst/>
                    </a:prstGeom>
                    <a:noFill/>
                    <a:ln>
                      <a:noFill/>
                    </a:ln>
                  </pic:spPr>
                </pic:pic>
              </a:graphicData>
            </a:graphic>
          </wp:inline>
        </w:drawing>
      </w:r>
    </w:p>
    <w:p w14:paraId="1625D358" w14:textId="77777777" w:rsidR="00F03A82" w:rsidRDefault="00F03A82">
      <w:pPr>
        <w:rPr>
          <w:b/>
          <w:bCs/>
          <w:sz w:val="32"/>
          <w:szCs w:val="32"/>
        </w:rPr>
      </w:pPr>
    </w:p>
    <w:sectPr w:rsidR="00F03A82">
      <w:pgSz w:w="11906" w:h="16838"/>
      <w:pgMar w:top="1440" w:right="1800" w:bottom="1440" w:left="180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default"/>
    <w:sig w:usb0="E0000AFF" w:usb1="40007843" w:usb2="00000001" w:usb3="00000000" w:csb0="400001BF" w:csb1="DFF7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sig w:usb0="E1002A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9EEA6"/>
    <w:multiLevelType w:val="multilevel"/>
    <w:tmpl w:val="66A9EEA6"/>
    <w:lvl w:ilvl="0">
      <w:start w:val="1"/>
      <w:numFmt w:val="chineseCounting"/>
      <w:suff w:val="nothing"/>
      <w:lvlText w:val="第%1条"/>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66A9EEB1"/>
    <w:multiLevelType w:val="multilevel"/>
    <w:tmpl w:val="66A9EEB1"/>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66A9EEBC"/>
    <w:multiLevelType w:val="multilevel"/>
    <w:tmpl w:val="66A9EEBC"/>
    <w:lvl w:ilvl="0">
      <w:start w:val="2"/>
      <w:numFmt w:val="chineseCounting"/>
      <w:suff w:val="nothing"/>
      <w:lvlText w:val="第%1条"/>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66A9EEC7"/>
    <w:multiLevelType w:val="multilevel"/>
    <w:tmpl w:val="66A9EEC7"/>
    <w:lvl w:ilvl="0">
      <w:start w:val="1"/>
      <w:numFmt w:val="decimal"/>
      <w:lvlText w:val="%1."/>
      <w:lvlJc w:val="left"/>
      <w:pPr>
        <w:ind w:left="360" w:hanging="360"/>
      </w:pPr>
      <w:rPr>
        <w:rFonts w:asciiTheme="minorEastAsia" w:eastAsiaTheme="minorEastAsia" w:hAnsiTheme="minorEastAsia" w:cs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6A9EED2"/>
    <w:multiLevelType w:val="multilevel"/>
    <w:tmpl w:val="66A9EED2"/>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758714436">
    <w:abstractNumId w:val="0"/>
  </w:num>
  <w:num w:numId="2" w16cid:durableId="1354645132">
    <w:abstractNumId w:val="1"/>
  </w:num>
  <w:num w:numId="3" w16cid:durableId="106434969">
    <w:abstractNumId w:val="2"/>
  </w:num>
  <w:num w:numId="4" w16cid:durableId="977682565">
    <w:abstractNumId w:val="3"/>
  </w:num>
  <w:num w:numId="5" w16cid:durableId="1424036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420"/>
  <w:noPunctuationKerning/>
  <w:characterSpacingControl w:val="doNotCompress"/>
  <w:compat>
    <w:balanceSingleByteDoubleByteWidth/>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NiMGQ1YzkzNWZmOTk1MjBkNDUwY2Y1OTYxYmY2OWUifQ=="/>
  </w:docVars>
  <w:rsids>
    <w:rsidRoot w:val="00F03A82"/>
    <w:rsid w:val="FF6E9BCA"/>
    <w:rsid w:val="000E5B05"/>
    <w:rsid w:val="006D1410"/>
    <w:rsid w:val="00995DF4"/>
    <w:rsid w:val="00F03A82"/>
    <w:rsid w:val="00FA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B33CD2"/>
  <w15:docId w15:val="{B0327E66-1AE0-4BBB-8893-6E0E6877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sz w:val="21"/>
      <w:szCs w:val="24"/>
    </w:rPr>
  </w:style>
  <w:style w:type="paragraph" w:styleId="1">
    <w:name w:val="heading 1"/>
    <w:basedOn w:val="a"/>
    <w:next w:val="a"/>
    <w:qFormat/>
    <w:pPr>
      <w:keepNext/>
      <w:keepLines/>
      <w:spacing w:before="340" w:after="330" w:line="576" w:lineRule="auto"/>
      <w:outlineLvl w:val="0"/>
    </w:pPr>
    <w:rPr>
      <w:b/>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after="57"/>
      <w:ind w:left="1701"/>
    </w:pPr>
  </w:style>
  <w:style w:type="paragraph" w:styleId="a3">
    <w:name w:val="caption"/>
    <w:basedOn w:val="a"/>
    <w:next w:val="a"/>
    <w:uiPriority w:val="35"/>
    <w:unhideWhenUsed/>
    <w:qFormat/>
    <w:pPr>
      <w:spacing w:line="276" w:lineRule="auto"/>
    </w:pPr>
    <w:rPr>
      <w:b/>
      <w:bCs/>
      <w:color w:val="4F81BD" w:themeColor="accent1"/>
      <w:sz w:val="18"/>
      <w:szCs w:val="18"/>
    </w:rPr>
  </w:style>
  <w:style w:type="paragraph" w:styleId="TOC5">
    <w:name w:val="toc 5"/>
    <w:basedOn w:val="a"/>
    <w:next w:val="a"/>
    <w:uiPriority w:val="39"/>
    <w:unhideWhenUsed/>
    <w:pPr>
      <w:spacing w:after="57"/>
      <w:ind w:left="1134"/>
    </w:pPr>
  </w:style>
  <w:style w:type="paragraph" w:styleId="TOC3">
    <w:name w:val="toc 3"/>
    <w:basedOn w:val="a"/>
    <w:next w:val="a"/>
    <w:uiPriority w:val="39"/>
    <w:unhideWhenUsed/>
    <w:pPr>
      <w:spacing w:after="57"/>
      <w:ind w:left="567"/>
    </w:pPr>
  </w:style>
  <w:style w:type="paragraph" w:styleId="TOC8">
    <w:name w:val="toc 8"/>
    <w:basedOn w:val="a"/>
    <w:next w:val="a"/>
    <w:uiPriority w:val="39"/>
    <w:unhideWhenUsed/>
    <w:pPr>
      <w:spacing w:after="57"/>
      <w:ind w:left="1984"/>
    </w:pPr>
  </w:style>
  <w:style w:type="paragraph" w:styleId="a4">
    <w:name w:val="endnote text"/>
    <w:basedOn w:val="a"/>
    <w:link w:val="a5"/>
    <w:uiPriority w:val="99"/>
    <w:unhideWhenUsed/>
    <w:rPr>
      <w:sz w:val="20"/>
    </w:rPr>
  </w:style>
  <w:style w:type="paragraph" w:styleId="a6">
    <w:name w:val="Balloon Text"/>
    <w:basedOn w:val="a"/>
    <w:link w:val="a7"/>
    <w:rPr>
      <w:sz w:val="18"/>
      <w:szCs w:val="18"/>
    </w:rPr>
  </w:style>
  <w:style w:type="paragraph" w:styleId="a8">
    <w:name w:val="footer"/>
    <w:basedOn w:val="a"/>
    <w:link w:val="a9"/>
    <w:qFormat/>
    <w:pPr>
      <w:tabs>
        <w:tab w:val="center" w:pos="4153"/>
        <w:tab w:val="right" w:pos="8306"/>
      </w:tabs>
      <w:jc w:val="left"/>
    </w:pPr>
    <w:rPr>
      <w:rFonts w:cs="Times New Roman"/>
      <w:sz w:val="18"/>
      <w:szCs w:val="18"/>
    </w:rPr>
  </w:style>
  <w:style w:type="paragraph" w:styleId="aa">
    <w:name w:val="header"/>
    <w:basedOn w:val="a"/>
    <w:link w:val="ab"/>
    <w:qFormat/>
    <w:pPr>
      <w:pBdr>
        <w:bottom w:val="single" w:sz="6" w:space="1" w:color="auto"/>
      </w:pBdr>
      <w:tabs>
        <w:tab w:val="center" w:pos="4153"/>
        <w:tab w:val="right" w:pos="8306"/>
      </w:tabs>
      <w:jc w:val="center"/>
    </w:pPr>
    <w:rPr>
      <w:rFonts w:cs="Times New Roman"/>
      <w:sz w:val="18"/>
      <w:szCs w:val="18"/>
    </w:rPr>
  </w:style>
  <w:style w:type="paragraph" w:styleId="TOC1">
    <w:name w:val="toc 1"/>
    <w:basedOn w:val="a"/>
    <w:next w:val="a"/>
    <w:uiPriority w:val="39"/>
    <w:unhideWhenUsed/>
    <w:pPr>
      <w:spacing w:after="57"/>
    </w:pPr>
  </w:style>
  <w:style w:type="paragraph" w:styleId="TOC4">
    <w:name w:val="toc 4"/>
    <w:basedOn w:val="a"/>
    <w:next w:val="a"/>
    <w:uiPriority w:val="39"/>
    <w:unhideWhenUsed/>
    <w:pPr>
      <w:spacing w:after="57"/>
      <w:ind w:left="850"/>
    </w:pPr>
  </w:style>
  <w:style w:type="paragraph" w:styleId="ac">
    <w:name w:val="Subtitle"/>
    <w:basedOn w:val="a"/>
    <w:next w:val="a"/>
    <w:link w:val="ad"/>
    <w:uiPriority w:val="11"/>
    <w:qFormat/>
    <w:pPr>
      <w:spacing w:before="200" w:after="200"/>
    </w:pPr>
    <w:rPr>
      <w:sz w:val="24"/>
    </w:rPr>
  </w:style>
  <w:style w:type="paragraph" w:styleId="ae">
    <w:name w:val="footnote text"/>
    <w:basedOn w:val="a"/>
    <w:link w:val="af"/>
    <w:uiPriority w:val="99"/>
    <w:unhideWhenUsed/>
    <w:pPr>
      <w:spacing w:after="40"/>
    </w:pPr>
    <w:rPr>
      <w:sz w:val="18"/>
    </w:rPr>
  </w:style>
  <w:style w:type="paragraph" w:styleId="TOC6">
    <w:name w:val="toc 6"/>
    <w:basedOn w:val="a"/>
    <w:next w:val="a"/>
    <w:uiPriority w:val="39"/>
    <w:unhideWhenUsed/>
    <w:pPr>
      <w:spacing w:after="57"/>
      <w:ind w:left="1417"/>
    </w:pPr>
  </w:style>
  <w:style w:type="paragraph" w:styleId="af0">
    <w:name w:val="table of figures"/>
    <w:basedOn w:val="a"/>
    <w:next w:val="a"/>
    <w:uiPriority w:val="99"/>
    <w:unhideWhenUsed/>
  </w:style>
  <w:style w:type="paragraph" w:styleId="TOC2">
    <w:name w:val="toc 2"/>
    <w:basedOn w:val="a"/>
    <w:next w:val="a"/>
    <w:uiPriority w:val="39"/>
    <w:unhideWhenUsed/>
    <w:pPr>
      <w:spacing w:after="57"/>
      <w:ind w:left="283"/>
    </w:pPr>
  </w:style>
  <w:style w:type="paragraph" w:styleId="TOC9">
    <w:name w:val="toc 9"/>
    <w:basedOn w:val="a"/>
    <w:next w:val="a"/>
    <w:uiPriority w:val="39"/>
    <w:unhideWhenUsed/>
    <w:pPr>
      <w:spacing w:after="57"/>
      <w:ind w:left="2268"/>
    </w:pPr>
  </w:style>
  <w:style w:type="paragraph" w:styleId="af1">
    <w:name w:val="Title"/>
    <w:basedOn w:val="a"/>
    <w:next w:val="a"/>
    <w:link w:val="af2"/>
    <w:uiPriority w:val="10"/>
    <w:qFormat/>
    <w:pPr>
      <w:spacing w:before="300" w:after="200"/>
      <w:contextualSpacing/>
    </w:pPr>
    <w:rPr>
      <w:sz w:val="48"/>
      <w:szCs w:val="48"/>
    </w:rPr>
  </w:style>
  <w:style w:type="table" w:styleId="af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basedOn w:val="a0"/>
    <w:uiPriority w:val="99"/>
    <w:unhideWhenUsed/>
    <w:rPr>
      <w:vertAlign w:val="superscript"/>
    </w:rPr>
  </w:style>
  <w:style w:type="character" w:styleId="af5">
    <w:name w:val="FollowedHyperlink"/>
    <w:basedOn w:val="a0"/>
    <w:qFormat/>
    <w:rPr>
      <w:color w:val="999999"/>
      <w:u w:val="none"/>
    </w:rPr>
  </w:style>
  <w:style w:type="character" w:styleId="af6">
    <w:name w:val="Emphasis"/>
    <w:basedOn w:val="a0"/>
    <w:qFormat/>
  </w:style>
  <w:style w:type="character" w:styleId="af7">
    <w:name w:val="Hyperlink"/>
    <w:basedOn w:val="a0"/>
    <w:qFormat/>
    <w:rPr>
      <w:color w:val="999999"/>
      <w:u w:val="none"/>
    </w:rPr>
  </w:style>
  <w:style w:type="character" w:styleId="af8">
    <w:name w:val="footnote reference"/>
    <w:basedOn w:val="a0"/>
    <w:uiPriority w:val="99"/>
    <w:unhideWhenUsed/>
    <w:rPr>
      <w:vertAlign w:val="superscript"/>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rPr>
      <w:rFonts w:ascii="Arial" w:eastAsia="Arial" w:hAnsi="Arial" w:cs="Arial"/>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rPr>
      <w:rFonts w:ascii="Arial" w:eastAsia="Arial" w:hAnsi="Arial" w:cs="Arial"/>
      <w:i/>
      <w:iCs/>
      <w:sz w:val="21"/>
      <w:szCs w:val="21"/>
    </w:rPr>
  </w:style>
  <w:style w:type="paragraph" w:customStyle="1" w:styleId="10">
    <w:name w:val="无间隔1"/>
    <w:uiPriority w:val="1"/>
    <w:qFormat/>
  </w:style>
  <w:style w:type="character" w:customStyle="1" w:styleId="af2">
    <w:name w:val="标题 字符"/>
    <w:basedOn w:val="a0"/>
    <w:link w:val="af1"/>
    <w:uiPriority w:val="10"/>
    <w:rPr>
      <w:sz w:val="48"/>
      <w:szCs w:val="48"/>
    </w:rPr>
  </w:style>
  <w:style w:type="character" w:customStyle="1" w:styleId="ad">
    <w:name w:val="副标题 字符"/>
    <w:basedOn w:val="a0"/>
    <w:link w:val="ac"/>
    <w:uiPriority w:val="11"/>
    <w:rPr>
      <w:sz w:val="24"/>
      <w:szCs w:val="24"/>
    </w:rPr>
  </w:style>
  <w:style w:type="paragraph" w:customStyle="1" w:styleId="11">
    <w:name w:val="引用1"/>
    <w:basedOn w:val="a"/>
    <w:next w:val="a"/>
    <w:link w:val="QuoteChar"/>
    <w:uiPriority w:val="29"/>
    <w:qFormat/>
    <w:pPr>
      <w:ind w:left="720" w:right="720"/>
    </w:pPr>
    <w:rPr>
      <w:i/>
    </w:rPr>
  </w:style>
  <w:style w:type="character" w:customStyle="1" w:styleId="QuoteChar">
    <w:name w:val="Quote Char"/>
    <w:link w:val="11"/>
    <w:uiPriority w:val="29"/>
    <w:rPr>
      <w:i/>
    </w:rPr>
  </w:style>
  <w:style w:type="paragraph" w:customStyle="1" w:styleId="12">
    <w:name w:val="明显引用1"/>
    <w:basedOn w:val="a"/>
    <w:next w:val="a"/>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12"/>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1"/>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0">
    <w:name w:val="网格表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0">
    <w:name w:val="网格表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网格表 7 彩色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2">
    <w:name w:val="清单表 1 浅色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
    <w:name w:val="清单表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清单表 7 彩色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
    <w:name w:val="脚注文本 字符"/>
    <w:link w:val="ae"/>
    <w:uiPriority w:val="99"/>
    <w:rPr>
      <w:sz w:val="18"/>
    </w:rPr>
  </w:style>
  <w:style w:type="character" w:customStyle="1" w:styleId="a5">
    <w:name w:val="尾注文本 字符"/>
    <w:link w:val="a4"/>
    <w:uiPriority w:val="99"/>
    <w:rPr>
      <w:sz w:val="20"/>
    </w:rPr>
  </w:style>
  <w:style w:type="paragraph" w:customStyle="1" w:styleId="TOC10">
    <w:name w:val="TOC 标题1"/>
    <w:uiPriority w:val="39"/>
    <w:unhideWhenUsed/>
  </w:style>
  <w:style w:type="character" w:customStyle="1" w:styleId="ab">
    <w:name w:val="页眉 字符"/>
    <w:link w:val="aa"/>
    <w:qFormat/>
    <w:rPr>
      <w:rFonts w:ascii="Calibri" w:hAnsi="Calibri" w:cs="黑体"/>
      <w:sz w:val="18"/>
      <w:szCs w:val="18"/>
    </w:rPr>
  </w:style>
  <w:style w:type="character" w:customStyle="1" w:styleId="a9">
    <w:name w:val="页脚 字符"/>
    <w:link w:val="a8"/>
    <w:qFormat/>
    <w:rPr>
      <w:rFonts w:ascii="Calibri" w:hAnsi="Calibri" w:cs="黑体"/>
      <w:sz w:val="18"/>
      <w:szCs w:val="18"/>
    </w:rPr>
  </w:style>
  <w:style w:type="character" w:customStyle="1" w:styleId="black">
    <w:name w:val="black"/>
    <w:basedOn w:val="a0"/>
    <w:rPr>
      <w:color w:val="666666"/>
    </w:rPr>
  </w:style>
  <w:style w:type="paragraph" w:customStyle="1" w:styleId="13">
    <w:name w:val="列表段落1"/>
    <w:basedOn w:val="a"/>
    <w:uiPriority w:val="99"/>
    <w:unhideWhenUsed/>
    <w:pPr>
      <w:ind w:firstLine="420"/>
    </w:pPr>
  </w:style>
  <w:style w:type="character" w:customStyle="1" w:styleId="a7">
    <w:name w:val="批注框文本 字符"/>
    <w:basedOn w:val="a0"/>
    <w:link w:val="a6"/>
    <w:rPr>
      <w:rFonts w:ascii="Calibri"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330</Words>
  <Characters>1885</Characters>
  <Application>Microsoft Office Word</Application>
  <DocSecurity>0</DocSecurity>
  <Lines>15</Lines>
  <Paragraphs>4</Paragraphs>
  <ScaleCrop>false</ScaleCrop>
  <Company>Microsoft</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先生 张</cp:lastModifiedBy>
  <cp:revision>39</cp:revision>
  <dcterms:created xsi:type="dcterms:W3CDTF">2021-03-06T09:49:00Z</dcterms:created>
  <dcterms:modified xsi:type="dcterms:W3CDTF">2024-10-17T09:12:00Z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DBF27AB49594F1A19AEEA966F2373A17_31</vt:lpwstr>
  </property>
</Properties>
</file>