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8413" w14:textId="6D20223A" w:rsidR="001F2999" w:rsidRPr="008F4714" w:rsidRDefault="001F2999" w:rsidP="008F4714">
      <w:pPr>
        <w:spacing w:line="276" w:lineRule="auto"/>
        <w:jc w:val="center"/>
        <w:rPr>
          <w:rFonts w:ascii="仿宋" w:eastAsia="仿宋" w:hAnsi="仿宋"/>
          <w:sz w:val="32"/>
          <w:szCs w:val="32"/>
        </w:rPr>
      </w:pPr>
      <w:r w:rsidRPr="008F4714">
        <w:rPr>
          <w:rFonts w:ascii="仿宋" w:eastAsia="仿宋" w:hAnsi="仿宋" w:hint="eastAsia"/>
          <w:sz w:val="32"/>
          <w:szCs w:val="32"/>
        </w:rPr>
        <w:t>施工保证金协议书</w:t>
      </w:r>
    </w:p>
    <w:p w14:paraId="13E87B68" w14:textId="77777777" w:rsidR="001F2999" w:rsidRPr="008F4714" w:rsidRDefault="001F2999" w:rsidP="008F4714">
      <w:pPr>
        <w:spacing w:line="276" w:lineRule="auto"/>
        <w:rPr>
          <w:rFonts w:ascii="仿宋" w:eastAsia="仿宋" w:hAnsi="仿宋"/>
        </w:rPr>
      </w:pPr>
    </w:p>
    <w:p w14:paraId="2869B043" w14:textId="76C3CC48" w:rsidR="001F2999" w:rsidRPr="008F4714" w:rsidRDefault="001F2999" w:rsidP="008F4714">
      <w:pPr>
        <w:spacing w:line="276" w:lineRule="auto"/>
        <w:rPr>
          <w:rFonts w:ascii="仿宋" w:eastAsia="仿宋" w:hAnsi="仿宋"/>
          <w:sz w:val="22"/>
          <w:szCs w:val="22"/>
        </w:rPr>
      </w:pPr>
      <w:r w:rsidRPr="008F4714">
        <w:rPr>
          <w:rFonts w:ascii="仿宋" w:eastAsia="仿宋" w:hAnsi="仿宋" w:hint="eastAsia"/>
          <w:sz w:val="22"/>
          <w:szCs w:val="22"/>
        </w:rPr>
        <w:t>甲方:上海幼狮文化传播有限公司</w:t>
      </w:r>
    </w:p>
    <w:p w14:paraId="799BBF45" w14:textId="759AE5D8" w:rsidR="001F2999" w:rsidRPr="005F76C1" w:rsidRDefault="001F2999" w:rsidP="008F4714">
      <w:pPr>
        <w:spacing w:line="276" w:lineRule="auto"/>
        <w:rPr>
          <w:rFonts w:ascii="仿宋" w:eastAsia="仿宋" w:hAnsi="仿宋"/>
          <w:sz w:val="22"/>
          <w:szCs w:val="22"/>
        </w:rPr>
      </w:pPr>
      <w:r w:rsidRPr="008F4714">
        <w:rPr>
          <w:rFonts w:ascii="仿宋" w:eastAsia="仿宋" w:hAnsi="仿宋" w:hint="eastAsia"/>
          <w:sz w:val="22"/>
          <w:szCs w:val="22"/>
        </w:rPr>
        <w:t>乙方:</w:t>
      </w:r>
      <w:r w:rsidR="00642D0F" w:rsidRPr="00642D0F">
        <w:rPr>
          <w:rFonts w:ascii="仿宋" w:eastAsia="仿宋" w:hAnsi="仿宋" w:hint="eastAsia"/>
          <w:sz w:val="22"/>
          <w:szCs w:val="22"/>
        </w:rPr>
        <w:t xml:space="preserve"> </w:t>
      </w:r>
      <w:r w:rsidR="00642D0F">
        <w:rPr>
          <w:rFonts w:ascii="仿宋" w:eastAsia="仿宋" w:hAnsi="仿宋" w:hint="eastAsia"/>
          <w:sz w:val="22"/>
          <w:szCs w:val="22"/>
        </w:rPr>
        <w:t>北京博源意嘉市场咨询有限公司</w:t>
      </w:r>
    </w:p>
    <w:p w14:paraId="5E87EE5D" w14:textId="77777777" w:rsidR="001F2999" w:rsidRPr="008F4714" w:rsidRDefault="001F2999" w:rsidP="008F4714">
      <w:pPr>
        <w:spacing w:line="276" w:lineRule="auto"/>
        <w:rPr>
          <w:rFonts w:ascii="仿宋" w:eastAsia="仿宋" w:hAnsi="仿宋"/>
          <w:sz w:val="22"/>
          <w:szCs w:val="22"/>
        </w:rPr>
      </w:pPr>
    </w:p>
    <w:p w14:paraId="6705BE76" w14:textId="03D860BF" w:rsidR="001F2999" w:rsidRPr="008F4714" w:rsidRDefault="001F2999" w:rsidP="008F4714">
      <w:pPr>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本履约</w:t>
      </w:r>
      <w:r w:rsidR="008005D6" w:rsidRPr="008F4714">
        <w:rPr>
          <w:rFonts w:ascii="仿宋" w:eastAsia="仿宋" w:hAnsi="仿宋" w:hint="eastAsia"/>
          <w:sz w:val="22"/>
          <w:szCs w:val="22"/>
        </w:rPr>
        <w:t>工程施工</w:t>
      </w:r>
      <w:r w:rsidRPr="008F4714">
        <w:rPr>
          <w:rFonts w:ascii="仿宋" w:eastAsia="仿宋" w:hAnsi="仿宋" w:hint="eastAsia"/>
          <w:sz w:val="22"/>
          <w:szCs w:val="22"/>
        </w:rPr>
        <w:t>保证金</w:t>
      </w:r>
      <w:r w:rsidR="008005D6" w:rsidRPr="008F4714">
        <w:rPr>
          <w:rFonts w:ascii="仿宋" w:eastAsia="仿宋" w:hAnsi="仿宋" w:hint="eastAsia"/>
          <w:sz w:val="22"/>
          <w:szCs w:val="22"/>
        </w:rPr>
        <w:t>协议书</w:t>
      </w:r>
      <w:r w:rsidRPr="008F4714">
        <w:rPr>
          <w:rFonts w:ascii="仿宋" w:eastAsia="仿宋" w:hAnsi="仿宋" w:hint="eastAsia"/>
          <w:sz w:val="22"/>
          <w:szCs w:val="22"/>
        </w:rPr>
        <w:t>双方于2024年</w:t>
      </w:r>
      <w:r w:rsidR="008F4714" w:rsidRPr="008F4714">
        <w:rPr>
          <w:rFonts w:ascii="仿宋" w:eastAsia="仿宋" w:hAnsi="仿宋" w:hint="eastAsia"/>
          <w:sz w:val="22"/>
          <w:szCs w:val="22"/>
        </w:rPr>
        <w:t>3</w:t>
      </w:r>
      <w:r w:rsidRPr="008F4714">
        <w:rPr>
          <w:rFonts w:ascii="仿宋" w:eastAsia="仿宋" w:hAnsi="仿宋" w:hint="eastAsia"/>
          <w:sz w:val="22"/>
          <w:szCs w:val="22"/>
        </w:rPr>
        <w:t>月</w:t>
      </w:r>
      <w:r w:rsidR="008F4714" w:rsidRPr="008F4714">
        <w:rPr>
          <w:rFonts w:ascii="仿宋" w:eastAsia="仿宋" w:hAnsi="仿宋" w:hint="eastAsia"/>
          <w:sz w:val="22"/>
          <w:szCs w:val="22"/>
        </w:rPr>
        <w:t>28</w:t>
      </w:r>
      <w:r w:rsidRPr="008F4714">
        <w:rPr>
          <w:rFonts w:ascii="仿宋" w:eastAsia="仿宋" w:hAnsi="仿宋" w:hint="eastAsia"/>
          <w:sz w:val="22"/>
          <w:szCs w:val="22"/>
        </w:rPr>
        <w:t>日在订立</w:t>
      </w:r>
      <w:r w:rsidR="008005D6" w:rsidRPr="008F4714">
        <w:rPr>
          <w:rFonts w:ascii="仿宋" w:eastAsia="仿宋" w:hAnsi="仿宋" w:hint="eastAsia"/>
          <w:sz w:val="22"/>
          <w:szCs w:val="22"/>
        </w:rPr>
        <w:t>，有效期截止至</w:t>
      </w:r>
      <w:r w:rsidR="00D42EEC" w:rsidRPr="008F4714">
        <w:rPr>
          <w:rFonts w:ascii="仿宋" w:eastAsia="仿宋" w:hAnsi="仿宋" w:hint="eastAsia"/>
          <w:sz w:val="22"/>
          <w:szCs w:val="22"/>
        </w:rPr>
        <w:t>项目验收</w:t>
      </w:r>
      <w:r w:rsidR="008005D6" w:rsidRPr="008F4714">
        <w:rPr>
          <w:rFonts w:ascii="仿宋" w:eastAsia="仿宋" w:hAnsi="仿宋" w:hint="eastAsia"/>
          <w:sz w:val="22"/>
          <w:szCs w:val="22"/>
        </w:rPr>
        <w:t>结束</w:t>
      </w:r>
      <w:r w:rsidRPr="008F4714">
        <w:rPr>
          <w:rFonts w:ascii="仿宋" w:eastAsia="仿宋" w:hAnsi="仿宋" w:hint="eastAsia"/>
          <w:sz w:val="22"/>
          <w:szCs w:val="22"/>
        </w:rPr>
        <w:t>。为了明确双方权利、义务依据《中华人民共和国民法典》及其他有关法律法规规定，甲、乙双方经平等协商一致，订立本</w:t>
      </w:r>
      <w:r w:rsidR="008005D6" w:rsidRPr="008F4714">
        <w:rPr>
          <w:rFonts w:ascii="仿宋" w:eastAsia="仿宋" w:hAnsi="仿宋" w:hint="eastAsia"/>
          <w:sz w:val="22"/>
          <w:szCs w:val="22"/>
        </w:rPr>
        <w:t>协议</w:t>
      </w:r>
      <w:r w:rsidRPr="008F4714">
        <w:rPr>
          <w:rFonts w:ascii="仿宋" w:eastAsia="仿宋" w:hAnsi="仿宋" w:hint="eastAsia"/>
          <w:sz w:val="22"/>
          <w:szCs w:val="22"/>
        </w:rPr>
        <w:t>。</w:t>
      </w:r>
    </w:p>
    <w:p w14:paraId="7641BE5B" w14:textId="2CEC817D" w:rsidR="001F2999" w:rsidRPr="008F4714" w:rsidRDefault="001F2999" w:rsidP="008F4714">
      <w:pPr>
        <w:spacing w:line="276" w:lineRule="auto"/>
        <w:ind w:firstLineChars="200" w:firstLine="449"/>
        <w:rPr>
          <w:rFonts w:ascii="仿宋" w:eastAsia="仿宋" w:hAnsi="仿宋"/>
          <w:b/>
          <w:bCs/>
          <w:sz w:val="22"/>
          <w:szCs w:val="22"/>
        </w:rPr>
      </w:pPr>
      <w:r w:rsidRPr="008F4714">
        <w:rPr>
          <w:rFonts w:ascii="仿宋" w:eastAsia="仿宋" w:hAnsi="仿宋" w:hint="eastAsia"/>
          <w:b/>
          <w:bCs/>
          <w:sz w:val="22"/>
          <w:szCs w:val="22"/>
        </w:rPr>
        <w:t>第一条</w:t>
      </w:r>
    </w:p>
    <w:p w14:paraId="48F5F173" w14:textId="480BEB2F" w:rsidR="008005D6" w:rsidRPr="008F4714" w:rsidRDefault="001F2999"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鉴于甲方已与场地方签署了</w:t>
      </w:r>
      <w:r w:rsidR="00DC4165" w:rsidRPr="008F4714">
        <w:rPr>
          <w:rFonts w:ascii="仿宋" w:eastAsia="仿宋" w:hAnsi="仿宋" w:hint="eastAsia"/>
          <w:sz w:val="22"/>
          <w:szCs w:val="22"/>
        </w:rPr>
        <w:t>场地租赁</w:t>
      </w:r>
      <w:r w:rsidRPr="008F4714">
        <w:rPr>
          <w:rFonts w:ascii="仿宋" w:eastAsia="仿宋" w:hAnsi="仿宋" w:hint="eastAsia"/>
          <w:sz w:val="22"/>
          <w:szCs w:val="22"/>
        </w:rPr>
        <w:t>合同</w:t>
      </w:r>
      <w:r w:rsidR="00D42EEC" w:rsidRPr="008F4714">
        <w:rPr>
          <w:rFonts w:ascii="仿宋" w:eastAsia="仿宋" w:hAnsi="仿宋" w:hint="eastAsia"/>
          <w:sz w:val="22"/>
          <w:szCs w:val="22"/>
        </w:rPr>
        <w:t>并支付保证金</w:t>
      </w:r>
      <w:r w:rsidRPr="008F4714">
        <w:rPr>
          <w:rFonts w:ascii="仿宋" w:eastAsia="仿宋" w:hAnsi="仿宋" w:hint="eastAsia"/>
          <w:sz w:val="22"/>
          <w:szCs w:val="22"/>
        </w:rPr>
        <w:t>，甲乙双方</w:t>
      </w:r>
      <w:r w:rsidR="00DC4165" w:rsidRPr="008F4714">
        <w:rPr>
          <w:rFonts w:ascii="仿宋" w:eastAsia="仿宋" w:hAnsi="仿宋" w:hint="eastAsia"/>
          <w:sz w:val="22"/>
          <w:szCs w:val="22"/>
        </w:rPr>
        <w:t>共同</w:t>
      </w:r>
      <w:r w:rsidRPr="008F4714">
        <w:rPr>
          <w:rFonts w:ascii="仿宋" w:eastAsia="仿宋" w:hAnsi="仿宋" w:hint="eastAsia"/>
          <w:sz w:val="22"/>
          <w:szCs w:val="22"/>
        </w:rPr>
        <w:t>在对工程施工合同条款已做明确了解的情况下，为保证乙方在工程施工中承诺的履约义务得到切实履行，愿意按本合同约定向甲方提供保证金。</w:t>
      </w:r>
    </w:p>
    <w:p w14:paraId="2C2ADF9E" w14:textId="3B1E8F39" w:rsidR="008005D6"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甲</w:t>
      </w:r>
      <w:r w:rsidR="008005D6" w:rsidRPr="008F4714">
        <w:rPr>
          <w:rFonts w:ascii="仿宋" w:eastAsia="仿宋" w:hAnsi="仿宋" w:hint="eastAsia"/>
          <w:sz w:val="22"/>
          <w:szCs w:val="22"/>
        </w:rPr>
        <w:t>乙</w:t>
      </w:r>
      <w:r w:rsidRPr="008F4714">
        <w:rPr>
          <w:rFonts w:ascii="仿宋" w:eastAsia="仿宋" w:hAnsi="仿宋" w:hint="eastAsia"/>
          <w:sz w:val="22"/>
          <w:szCs w:val="22"/>
        </w:rPr>
        <w:t>双方</w:t>
      </w:r>
      <w:r w:rsidR="008005D6" w:rsidRPr="008F4714">
        <w:rPr>
          <w:rFonts w:ascii="仿宋" w:eastAsia="仿宋" w:hAnsi="仿宋" w:hint="eastAsia"/>
          <w:sz w:val="22"/>
          <w:szCs w:val="22"/>
        </w:rPr>
        <w:t>必须遵守且确保在场地进行的所有活动均遵守并符合相关法律法规及</w:t>
      </w:r>
      <w:r w:rsidRPr="008F4714">
        <w:rPr>
          <w:rFonts w:ascii="仿宋" w:eastAsia="仿宋" w:hAnsi="仿宋" w:hint="eastAsia"/>
          <w:sz w:val="22"/>
          <w:szCs w:val="22"/>
        </w:rPr>
        <w:t>场地</w:t>
      </w:r>
      <w:r w:rsidR="008005D6" w:rsidRPr="008F4714">
        <w:rPr>
          <w:rFonts w:ascii="仿宋" w:eastAsia="仿宋" w:hAnsi="仿宋" w:hint="eastAsia"/>
          <w:sz w:val="22"/>
          <w:szCs w:val="22"/>
        </w:rPr>
        <w:t>方的所有管理规则，包括但不限于物业管理人不时制定及修改的有关张园项目(“该项目”)的管理、使用及维修等方面的一切管理守则、指引和装修守则。管理规则自物业管理人向乙方做出书面通知后即生效。</w:t>
      </w:r>
    </w:p>
    <w:p w14:paraId="6268B392" w14:textId="3038B1B5" w:rsidR="001F2999"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甲</w:t>
      </w:r>
      <w:r w:rsidR="008005D6" w:rsidRPr="008F4714">
        <w:rPr>
          <w:rFonts w:ascii="仿宋" w:eastAsia="仿宋" w:hAnsi="仿宋" w:hint="eastAsia"/>
          <w:sz w:val="22"/>
          <w:szCs w:val="22"/>
        </w:rPr>
        <w:t>乙</w:t>
      </w:r>
      <w:r w:rsidRPr="008F4714">
        <w:rPr>
          <w:rFonts w:ascii="仿宋" w:eastAsia="仿宋" w:hAnsi="仿宋" w:hint="eastAsia"/>
          <w:sz w:val="22"/>
          <w:szCs w:val="22"/>
        </w:rPr>
        <w:t>双</w:t>
      </w:r>
      <w:r w:rsidR="008005D6" w:rsidRPr="008F4714">
        <w:rPr>
          <w:rFonts w:ascii="仿宋" w:eastAsia="仿宋" w:hAnsi="仿宋" w:hint="eastAsia"/>
          <w:sz w:val="22"/>
          <w:szCs w:val="22"/>
        </w:rPr>
        <w:t>方明悉该场地所属房屋为上海市优秀历史保护建筑，须遵守国家和上海市有关优秀历史保护建筑房屋使用规范或规定。</w:t>
      </w:r>
    </w:p>
    <w:p w14:paraId="2D2E0E22"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p>
    <w:p w14:paraId="0C812506" w14:textId="36A66BD3" w:rsidR="001F2999" w:rsidRPr="008F4714" w:rsidRDefault="001F2999" w:rsidP="008F4714">
      <w:pPr>
        <w:spacing w:line="276" w:lineRule="auto"/>
        <w:ind w:firstLineChars="200" w:firstLine="449"/>
        <w:rPr>
          <w:rFonts w:ascii="仿宋" w:eastAsia="仿宋" w:hAnsi="仿宋"/>
          <w:b/>
          <w:bCs/>
          <w:sz w:val="22"/>
          <w:szCs w:val="22"/>
        </w:rPr>
      </w:pPr>
      <w:r w:rsidRPr="008F4714">
        <w:rPr>
          <w:rFonts w:ascii="仿宋" w:eastAsia="仿宋" w:hAnsi="仿宋" w:hint="eastAsia"/>
          <w:b/>
          <w:bCs/>
          <w:sz w:val="22"/>
          <w:szCs w:val="22"/>
        </w:rPr>
        <w:t>第二条</w:t>
      </w:r>
      <w:r w:rsidR="009A02F5" w:rsidRPr="008F4714">
        <w:rPr>
          <w:rFonts w:ascii="仿宋" w:eastAsia="仿宋" w:hAnsi="仿宋" w:hint="eastAsia"/>
          <w:b/>
          <w:bCs/>
          <w:sz w:val="22"/>
          <w:szCs w:val="22"/>
        </w:rPr>
        <w:t>、使用时间</w:t>
      </w:r>
    </w:p>
    <w:p w14:paraId="2B9025E8"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乙方对场地的许可使用期(“使用期”)</w:t>
      </w:r>
    </w:p>
    <w:p w14:paraId="540B095A" w14:textId="32EC752D"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W7号房屋为自[ 2024 ]年[ 4 ]月[16]日起至[ 2024 ]年[ 4 ]月[19]日止。</w:t>
      </w:r>
    </w:p>
    <w:p w14:paraId="34A075A2"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乙方应当按照以下程序执行本次活动：</w:t>
      </w:r>
    </w:p>
    <w:p w14:paraId="0ACD9F99"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场地检查及交接时间：[ 2024 ]年[ 4 ]月[ 15 ]日[22]点，乙方在交接书上盖章签字即视为甲方已经向乙方交付了符合本协议约定的场地；</w:t>
      </w:r>
    </w:p>
    <w:p w14:paraId="0D705899"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布展时间：</w:t>
      </w:r>
    </w:p>
    <w:p w14:paraId="670DE661" w14:textId="3468C390" w:rsidR="009A02F5" w:rsidRPr="008F4714" w:rsidRDefault="009A02F5" w:rsidP="005F76C1">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W7号房屋为自[ 2024 ]年[ 4 ]月[16]日[0]点起至[ 2024 ]年[ 4 ]月[17]日[8]点止。</w:t>
      </w:r>
    </w:p>
    <w:p w14:paraId="1B4BF8DF"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活动时间：</w:t>
      </w:r>
    </w:p>
    <w:p w14:paraId="2D7D2614" w14:textId="392E2F86" w:rsidR="009A02F5" w:rsidRPr="008F4714" w:rsidRDefault="009A02F5" w:rsidP="005F76C1">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W7号房屋为自[ 2024 ]年[ 4 ]月[17]日[10]点起至[ 2024 ]年[ 4 ]月[</w:t>
      </w:r>
      <w:r w:rsidR="005F76C1">
        <w:rPr>
          <w:rFonts w:ascii="仿宋" w:eastAsia="仿宋" w:hAnsi="仿宋" w:hint="eastAsia"/>
          <w:sz w:val="22"/>
          <w:szCs w:val="22"/>
        </w:rPr>
        <w:t>21</w:t>
      </w:r>
      <w:r w:rsidRPr="008F4714">
        <w:rPr>
          <w:rFonts w:ascii="仿宋" w:eastAsia="仿宋" w:hAnsi="仿宋" w:hint="eastAsia"/>
          <w:sz w:val="22"/>
          <w:szCs w:val="22"/>
        </w:rPr>
        <w:t>]日[22]点止。</w:t>
      </w:r>
    </w:p>
    <w:p w14:paraId="352AAA67"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撤场时间：</w:t>
      </w:r>
    </w:p>
    <w:p w14:paraId="42EE600D" w14:textId="25295B66" w:rsidR="009A02F5" w:rsidRPr="008F4714" w:rsidRDefault="009A02F5" w:rsidP="005F76C1">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W7号房屋为自[ 2024 ]年[ 4 ]月[</w:t>
      </w:r>
      <w:r w:rsidR="005F76C1">
        <w:rPr>
          <w:rFonts w:ascii="仿宋" w:eastAsia="仿宋" w:hAnsi="仿宋" w:hint="eastAsia"/>
          <w:sz w:val="22"/>
          <w:szCs w:val="22"/>
        </w:rPr>
        <w:t>21</w:t>
      </w:r>
      <w:r w:rsidRPr="008F4714">
        <w:rPr>
          <w:rFonts w:ascii="仿宋" w:eastAsia="仿宋" w:hAnsi="仿宋" w:hint="eastAsia"/>
          <w:sz w:val="22"/>
          <w:szCs w:val="22"/>
        </w:rPr>
        <w:t>]日[22]点起至[ 2024 ]年[ 4 ]月[2</w:t>
      </w:r>
      <w:r w:rsidR="005F76C1">
        <w:rPr>
          <w:rFonts w:ascii="仿宋" w:eastAsia="仿宋" w:hAnsi="仿宋" w:hint="eastAsia"/>
          <w:sz w:val="22"/>
          <w:szCs w:val="22"/>
        </w:rPr>
        <w:t>2</w:t>
      </w:r>
      <w:r w:rsidRPr="008F4714">
        <w:rPr>
          <w:rFonts w:ascii="仿宋" w:eastAsia="仿宋" w:hAnsi="仿宋" w:hint="eastAsia"/>
          <w:sz w:val="22"/>
          <w:szCs w:val="22"/>
        </w:rPr>
        <w:t>]日[4]点止。</w:t>
      </w:r>
    </w:p>
    <w:p w14:paraId="4DE79CFA"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bookmarkStart w:id="0" w:name="OLE_LINK1"/>
      <w:r w:rsidRPr="008F4714">
        <w:rPr>
          <w:rFonts w:ascii="仿宋" w:eastAsia="仿宋" w:hAnsi="仿宋" w:hint="eastAsia"/>
          <w:sz w:val="22"/>
          <w:szCs w:val="22"/>
        </w:rPr>
        <w:t>场地检查及收回时间：</w:t>
      </w:r>
    </w:p>
    <w:p w14:paraId="015B50AF" w14:textId="267758C1" w:rsidR="009A02F5" w:rsidRPr="008F4714" w:rsidRDefault="009A02F5" w:rsidP="005F76C1">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W7号房屋为自[ 2024 ]年[ 4 ]月[22]日[15]点起至[ 2024 ]年[ 4 ]月[22]日[16]点止。</w:t>
      </w:r>
    </w:p>
    <w:bookmarkEnd w:id="0"/>
    <w:p w14:paraId="2732F03D" w14:textId="0F56E5F3"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乙方确认须严格按照本协议约定的布展时间进行布展活动，如乙方未能按时完成布</w:t>
      </w:r>
      <w:r w:rsidRPr="008F4714">
        <w:rPr>
          <w:rFonts w:ascii="仿宋" w:eastAsia="仿宋" w:hAnsi="仿宋" w:hint="eastAsia"/>
          <w:sz w:val="22"/>
          <w:szCs w:val="22"/>
        </w:rPr>
        <w:lastRenderedPageBreak/>
        <w:t>展活动，则需按本协议约定的布展完成时间至实际活动开始时间按每日人民币[15,000]元向场地方支付布展延迟违约金；延迟超过[ 7 ]日，场地方有权终止本协议，并要求乙方承担违约责任。</w:t>
      </w:r>
    </w:p>
    <w:p w14:paraId="68372382" w14:textId="007AB8EA"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使用期满，乙方应按场地交付时的原状向场地方交还场地。如乙方在使用期满后未拆除及撤走场地的装修、设施设备、布置及/或有关物品(“遗留物”)的，将视为乙方自动放弃该等遗留物的所有权及/或使用权，场地方有权自行或者指派第三方拆除及撤走该等遗留物，由此产生的一切费用均由乙方承担。若给场地方造成其他损失的，乙方应当予以赔偿。此外，乙方应自逾期返还场地之日起按每日[50,000]元的标准向场地方支付场地占用使用费，该等占用使用费的支付不构成本协议的延续。</w:t>
      </w:r>
    </w:p>
    <w:p w14:paraId="53D29D95" w14:textId="77777777" w:rsidR="009A02F5" w:rsidRPr="008F4714" w:rsidRDefault="009A02F5" w:rsidP="008F4714">
      <w:pPr>
        <w:tabs>
          <w:tab w:val="left" w:pos="709"/>
        </w:tabs>
        <w:spacing w:line="276" w:lineRule="auto"/>
        <w:ind w:firstLineChars="200" w:firstLine="440"/>
        <w:rPr>
          <w:rFonts w:ascii="仿宋" w:eastAsia="仿宋" w:hAnsi="仿宋"/>
          <w:sz w:val="22"/>
          <w:szCs w:val="22"/>
        </w:rPr>
      </w:pPr>
    </w:p>
    <w:p w14:paraId="3E6DA9BA" w14:textId="505D7CC4" w:rsidR="00DC4165" w:rsidRPr="008F4714" w:rsidRDefault="001F2999" w:rsidP="008F4714">
      <w:pPr>
        <w:spacing w:line="276" w:lineRule="auto"/>
        <w:ind w:firstLineChars="200" w:firstLine="449"/>
        <w:rPr>
          <w:rFonts w:ascii="仿宋" w:eastAsia="仿宋" w:hAnsi="仿宋"/>
          <w:b/>
          <w:bCs/>
          <w:sz w:val="22"/>
          <w:szCs w:val="22"/>
        </w:rPr>
      </w:pPr>
      <w:r w:rsidRPr="008F4714">
        <w:rPr>
          <w:rFonts w:ascii="仿宋" w:eastAsia="仿宋" w:hAnsi="仿宋" w:hint="eastAsia"/>
          <w:b/>
          <w:bCs/>
          <w:sz w:val="22"/>
          <w:szCs w:val="22"/>
        </w:rPr>
        <w:t>第三条</w:t>
      </w:r>
      <w:r w:rsidR="009A02F5" w:rsidRPr="008F4714">
        <w:rPr>
          <w:rFonts w:ascii="仿宋" w:eastAsia="仿宋" w:hAnsi="仿宋" w:hint="eastAsia"/>
          <w:b/>
          <w:bCs/>
          <w:sz w:val="22"/>
          <w:szCs w:val="22"/>
        </w:rPr>
        <w:t>、场地使用费、履约保证金及其他费用</w:t>
      </w:r>
    </w:p>
    <w:p w14:paraId="6FEF831E" w14:textId="15073558"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履约保证金（即场地押金）：人民币[</w:t>
      </w:r>
      <w:r w:rsidR="00A275FE">
        <w:rPr>
          <w:rFonts w:ascii="仿宋" w:eastAsia="仿宋" w:hAnsi="仿宋" w:hint="eastAsia"/>
          <w:sz w:val="22"/>
          <w:szCs w:val="22"/>
        </w:rPr>
        <w:t>2</w:t>
      </w:r>
      <w:r w:rsidRPr="008F4714">
        <w:rPr>
          <w:rFonts w:ascii="仿宋" w:eastAsia="仿宋" w:hAnsi="仿宋" w:hint="eastAsia"/>
          <w:sz w:val="22"/>
          <w:szCs w:val="22"/>
        </w:rPr>
        <w:t>0,000]元（大写：人民币[</w:t>
      </w:r>
      <w:r w:rsidR="00A275FE">
        <w:rPr>
          <w:rFonts w:ascii="仿宋" w:eastAsia="仿宋" w:hAnsi="仿宋" w:hint="eastAsia"/>
          <w:sz w:val="22"/>
          <w:szCs w:val="22"/>
        </w:rPr>
        <w:t>贰</w:t>
      </w:r>
      <w:r w:rsidRPr="008F4714">
        <w:rPr>
          <w:rFonts w:ascii="仿宋" w:eastAsia="仿宋" w:hAnsi="仿宋" w:hint="eastAsia"/>
          <w:sz w:val="22"/>
          <w:szCs w:val="22"/>
        </w:rPr>
        <w:t>万元整]）。</w:t>
      </w:r>
    </w:p>
    <w:p w14:paraId="7DABADF2" w14:textId="22194628"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若该履约保证金用于补偿甲方因乙方违反、不遵守、不履行本协议而遭受的损失、损害时，基于被扣除的履约保证金和适用增值税税率计算的增值税应一并予以扣除。非因甲方原因导致本协议被解除的，甲方有权不予退还履约保证金。</w:t>
      </w:r>
    </w:p>
    <w:p w14:paraId="3E3D2309" w14:textId="0EE8A003" w:rsidR="009A02F5" w:rsidRPr="008F4714" w:rsidRDefault="009A02F5"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履约保证金支付：乙方须在签署本协议后1</w:t>
      </w:r>
      <w:r w:rsidR="00146A03">
        <w:rPr>
          <w:rFonts w:ascii="仿宋" w:eastAsia="仿宋" w:hAnsi="仿宋" w:hint="eastAsia"/>
          <w:sz w:val="22"/>
          <w:szCs w:val="22"/>
        </w:rPr>
        <w:t>0</w:t>
      </w:r>
      <w:r w:rsidRPr="008F4714">
        <w:rPr>
          <w:rFonts w:ascii="仿宋" w:eastAsia="仿宋" w:hAnsi="仿宋" w:hint="eastAsia"/>
          <w:sz w:val="22"/>
          <w:szCs w:val="22"/>
        </w:rPr>
        <w:t>个工作日前内向甲方全额支付。如乙方未于交付日前支付履约保证金，甲方有权拒绝将场地交付于乙方。</w:t>
      </w:r>
    </w:p>
    <w:p w14:paraId="6B17909E" w14:textId="50EDA02A" w:rsidR="00DC4165" w:rsidRPr="008F4714" w:rsidRDefault="001F2999" w:rsidP="008F4714">
      <w:pPr>
        <w:spacing w:line="276" w:lineRule="auto"/>
        <w:ind w:firstLineChars="200" w:firstLine="449"/>
        <w:rPr>
          <w:rFonts w:ascii="仿宋" w:eastAsia="仿宋" w:hAnsi="仿宋"/>
          <w:b/>
          <w:bCs/>
          <w:sz w:val="22"/>
          <w:szCs w:val="22"/>
        </w:rPr>
      </w:pPr>
      <w:r w:rsidRPr="008F4714">
        <w:rPr>
          <w:rFonts w:ascii="仿宋" w:eastAsia="仿宋" w:hAnsi="仿宋" w:hint="eastAsia"/>
          <w:b/>
          <w:bCs/>
          <w:sz w:val="22"/>
          <w:szCs w:val="22"/>
        </w:rPr>
        <w:t>第四条</w:t>
      </w:r>
      <w:r w:rsidR="00B862D0" w:rsidRPr="008F4714">
        <w:rPr>
          <w:rFonts w:ascii="仿宋" w:eastAsia="仿宋" w:hAnsi="仿宋" w:hint="eastAsia"/>
          <w:b/>
          <w:bCs/>
          <w:sz w:val="22"/>
          <w:szCs w:val="22"/>
        </w:rPr>
        <w:t>、双方权利义务</w:t>
      </w:r>
    </w:p>
    <w:p w14:paraId="34B34AB2" w14:textId="03459603" w:rsidR="00B862D0" w:rsidRPr="008F4714" w:rsidRDefault="00B862D0"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在本协议签署时或活动开始前[</w:t>
      </w:r>
      <w:r w:rsidR="00146A03">
        <w:rPr>
          <w:rFonts w:ascii="仿宋" w:eastAsia="仿宋" w:hAnsi="仿宋" w:hint="eastAsia"/>
          <w:sz w:val="22"/>
          <w:szCs w:val="22"/>
        </w:rPr>
        <w:t>20</w:t>
      </w:r>
      <w:r w:rsidRPr="008F4714">
        <w:rPr>
          <w:rFonts w:ascii="仿宋" w:eastAsia="仿宋" w:hAnsi="仿宋" w:hint="eastAsia"/>
          <w:sz w:val="22"/>
          <w:szCs w:val="22"/>
        </w:rPr>
        <w:t>]日，乙方应按甲方要求向甲方及/或物业管理人提交完整的活动方案资料，包括平面布置图、效果图、结构平面图，相关节点图、计算书、展品信息、活动信息等，以及展示所需设施设备和物品明细、重量和用电要求。乙方所提交的设计图纸须聘请有相关资质的公司制作。前述活动方案经甲方及/或物业管理人审核通过后方可执行。</w:t>
      </w:r>
    </w:p>
    <w:p w14:paraId="5D454D74" w14:textId="77777777" w:rsidR="00B862D0" w:rsidRPr="008F4714" w:rsidRDefault="00B862D0"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乙方务必按照已根据本协议约定由甲方及/或物业管理人审核通过后的活动方案严格执行及布置/装修。未经双方事先协商一致，乙方不得擅自改动原通过审核的活动方案。</w:t>
      </w:r>
    </w:p>
    <w:p w14:paraId="46B93D39" w14:textId="77777777" w:rsidR="00B862D0" w:rsidRPr="008F4714" w:rsidRDefault="00B862D0"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乙方在本次活动举办期间，应当根据相关法律法规及甲方及/或物业管理人的要求落实各项安全措施。乙方对活动的安全工作全面负责，并承担因场地的使用及本次活动所致的包括但不限于人身权、财产权等纠纷而产生的全部法律责任，如甲方因乙方行为遭受损失，乙方应当予以赔偿。</w:t>
      </w:r>
    </w:p>
    <w:p w14:paraId="4B6E84A1" w14:textId="77777777" w:rsidR="00B862D0" w:rsidRPr="008F4714" w:rsidRDefault="00B862D0"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乙方应当确保其在场地内进行的一切活动及其展示产品等行为符合相关法律法规、不侵犯第三方合法权益，且在活动开始前取得为进行此活动所需的一切证照、批准或许可。如因乙方违反有关规定导致有关主管部门予以行政处罚，由乙方自行承担一切责任，给甲方造成损失的，甲方有权向乙方追索因此遭受的一切损失。</w:t>
      </w:r>
    </w:p>
    <w:p w14:paraId="69E2F4EB" w14:textId="77777777" w:rsidR="00B862D0" w:rsidRPr="008F4714" w:rsidRDefault="00B862D0"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乙方应按照本协议第一（二）条所述的管理规则的规定使用场地、开展场地搭建工作、进行展示和展示活动及设备的安装和拆除工作。在使用期内，乙方须保持场地于良好使用状况并承担任何因未妥善使用场地或未遵守管理规则而致场地遭受损坏或对任何人造成的人身伤亡或财物损失的责任。若第三方与乙方发生任何纠纷，而直接向甲方追索时，甲方有权向乙方追索因此遭受的一切损失。</w:t>
      </w:r>
    </w:p>
    <w:p w14:paraId="42DAD2CF" w14:textId="77777777" w:rsidR="00B862D0" w:rsidRPr="008F4714" w:rsidRDefault="00B862D0"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lastRenderedPageBreak/>
        <w:t>甲方有权无偿将活动相关宣传资料用于该项目的活动报告、资讯、新闻宣传稿等各种宣传推广文件。如因此侵犯第三方的合法权益，乙方应自负费用承担一切责任，并赔偿甲方因此遭受的损失。</w:t>
      </w:r>
    </w:p>
    <w:p w14:paraId="2B124846" w14:textId="09098EA7" w:rsidR="008049B4" w:rsidRPr="008F4714" w:rsidRDefault="00B862D0"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乙方需就本次活动应按照甲方及/或物业管理人制定的保险指引要求投保公众责任险和财产一切险，并于所购买该等保险的保险单中，列明甲方及物业管理人为该等保险的被保险/受益人或共同被保险/受益人。乙方应当向甲方提供相关证明文件，否则甲方有权禁止乙方或任何与乙方有关的人士进入场地施工或进行任何其他活动。</w:t>
      </w:r>
    </w:p>
    <w:p w14:paraId="776B6531" w14:textId="77777777" w:rsidR="008049B4" w:rsidRPr="008F4714" w:rsidRDefault="008049B4" w:rsidP="008F4714">
      <w:pPr>
        <w:tabs>
          <w:tab w:val="left" w:pos="709"/>
        </w:tabs>
        <w:spacing w:line="276" w:lineRule="auto"/>
        <w:ind w:firstLineChars="200" w:firstLine="449"/>
        <w:jc w:val="left"/>
        <w:rPr>
          <w:rFonts w:ascii="仿宋" w:eastAsia="仿宋" w:hAnsi="仿宋"/>
          <w:b/>
          <w:bCs/>
          <w:sz w:val="22"/>
          <w:szCs w:val="22"/>
        </w:rPr>
      </w:pPr>
      <w:r w:rsidRPr="008F4714">
        <w:rPr>
          <w:rFonts w:ascii="仿宋" w:eastAsia="仿宋" w:hAnsi="仿宋" w:hint="eastAsia"/>
          <w:b/>
          <w:bCs/>
          <w:sz w:val="22"/>
          <w:szCs w:val="22"/>
        </w:rPr>
        <w:t>乙方责任：</w:t>
      </w:r>
    </w:p>
    <w:p w14:paraId="6E15F8BE"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1、对使用的该房屋/场地的消防安全负有直接责任，对该房屋/场地内的生产、经营活动消防安全负责。</w:t>
      </w:r>
    </w:p>
    <w:p w14:paraId="5BF4793F"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2、应具备安全生产条件或者相应资质并依法经营。在使用或者开业前，应当向相关政府机构申报，经相关政府机构批准后，方可使用或者开业。</w:t>
      </w:r>
    </w:p>
    <w:p w14:paraId="4CDC5933"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3、严格遵守各项消防法规及有关防火规定，该房屋/场地及其周边消防疏散门、疏散楼梯、消防通道、安全出口等不得堆放杂物、堵塞或锁闭，必须保持畅通。公众聚集场所还应按规定设置消防安全疏散指示标志和应急照明设施。</w:t>
      </w:r>
    </w:p>
    <w:p w14:paraId="3C56E846"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4、全面负责该房屋/场地的消防安全管理工作，建立消防档案台账和防火检查记录，制定各项消防安全管理制度和应急处置预案并定期演练，经常对从业人员进行防火安全教育，做到责任到人。</w:t>
      </w:r>
    </w:p>
    <w:p w14:paraId="6D198ABC"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5、该房屋/场地内用电必须符合国家及地方有关规定，不得超负荷用电和私拉乱接临时电线，电气线路和电气设备的功率、保险装置应当与额定负荷相匹配，不得用其他金属丝代替保险丝等。</w:t>
      </w:r>
    </w:p>
    <w:p w14:paraId="07EC4F2D"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6、作为库房使用的部分（如有），必须符合《仓库防火安全管理规则》，严禁吸烟，严禁使用电炉、电烙铁、电熨斗等电热器具和电视机、电冰箱等家用电器。</w:t>
      </w:r>
    </w:p>
    <w:p w14:paraId="0FA63503"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7、禁止利用该房屋/场地从事非法生产、加工、储存、经营爆炸性、毒害性、放射性、腐蚀性物质或者传染病病原体等危险物质和其他违法活动。</w:t>
      </w:r>
    </w:p>
    <w:p w14:paraId="764C6863"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8、该房屋/场地内禁止在具有火灾、爆炸危险的场所使用明火。乙方因特殊情况需要进行电、气焊等明火用业的，乙方应当按照用火管理制度办理动火证，并向甲方报备。乙方应当遵守消防安全规定，在动火证载明的许可范围内动火施工，并落实相应的消防安全措施。如因乙方无证施工、违规施工或未落实安全措施，导致事故造成甲方及第三方损失的（包括但不限于民事赔偿、行政处罚等），乙方应负责全部赔偿。</w:t>
      </w:r>
    </w:p>
    <w:p w14:paraId="6C4D95EC"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9、该房屋/场地附近严禁动用明火、烧烤及焚烧杂草要、树叶、废旧物品等。该房屋/场地的消防设备、设施必须符合消防要求，始终保持完整、好用、正常的工作状态，严禁遮挡或挪作它用，如有丢失损坏应及时购置或维修。负责消防器材的配置、正常维修、更换的费用。消防器材要适用场所、数量足够、摆放合理、专人保管、定期检测。</w:t>
      </w:r>
    </w:p>
    <w:p w14:paraId="777D7797"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10、对该房屋/场地进行改造或装修时，必须向甲方报备。乙方需确保施工期间的消防安全。工程竣工后，经公安消防部门等有关部门验收合格后方可使用。</w:t>
      </w:r>
    </w:p>
    <w:p w14:paraId="2361DB9C"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11、不得擅自改变该房屋/场地使用功能、建筑结构。未经相关政府部门批准，不得擅自搭建临时房屋，已经批准搭建的临时房屋使用到期后必须拆除。服从相关政府部门和甲方及上级安全管理部门的监督检查，对监督检查中提出的消防安全隐患，要及时进</w:t>
      </w:r>
      <w:r w:rsidRPr="008F4714">
        <w:rPr>
          <w:rFonts w:ascii="仿宋" w:eastAsia="仿宋" w:hAnsi="仿宋" w:hint="eastAsia"/>
          <w:sz w:val="22"/>
          <w:szCs w:val="22"/>
        </w:rPr>
        <w:lastRenderedPageBreak/>
        <w:t>行整改。</w:t>
      </w:r>
    </w:p>
    <w:p w14:paraId="7C32BDF8"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12、该房屋/场地使用用途包含餐饮业态时，需自行承担相关防虫灭害的费用。</w:t>
      </w:r>
    </w:p>
    <w:p w14:paraId="41AECC2E" w14:textId="3DF294EA" w:rsidR="008049B4" w:rsidRPr="008F4714" w:rsidRDefault="008F4714" w:rsidP="008F4714">
      <w:pPr>
        <w:spacing w:line="276" w:lineRule="auto"/>
        <w:ind w:firstLineChars="200" w:firstLine="449"/>
        <w:rPr>
          <w:rFonts w:ascii="仿宋" w:eastAsia="仿宋" w:hAnsi="仿宋"/>
          <w:b/>
          <w:bCs/>
          <w:sz w:val="22"/>
          <w:szCs w:val="22"/>
        </w:rPr>
      </w:pPr>
      <w:r w:rsidRPr="008F4714">
        <w:rPr>
          <w:rFonts w:ascii="仿宋" w:eastAsia="仿宋" w:hAnsi="仿宋" w:hint="eastAsia"/>
          <w:b/>
          <w:bCs/>
          <w:sz w:val="22"/>
          <w:szCs w:val="22"/>
        </w:rPr>
        <w:t>第四条、</w:t>
      </w:r>
      <w:r w:rsidR="008049B4" w:rsidRPr="008F4714">
        <w:rPr>
          <w:rFonts w:ascii="仿宋" w:eastAsia="仿宋" w:hAnsi="仿宋" w:hint="eastAsia"/>
          <w:b/>
          <w:bCs/>
          <w:sz w:val="22"/>
          <w:szCs w:val="22"/>
        </w:rPr>
        <w:t>违约责任：</w:t>
      </w:r>
    </w:p>
    <w:p w14:paraId="69DBC891"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1、若违反本协议书发生火灾发生火灾事故或引发火情，由责任方承担相应的法律责任、经济损失和经济赔偿。</w:t>
      </w:r>
    </w:p>
    <w:p w14:paraId="2FAA43EF"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2、若因乙方管理不严，违反消防法规及安全管理制度，违反操作规程，引起火灾事故，应由乙方负完全责任，并赔偿由此造成的经济损失及承担法律责任。</w:t>
      </w:r>
    </w:p>
    <w:p w14:paraId="31FCF8D3"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3、若乙方拒不执行消防法规及有关防火规定及安全检查中发现不具备使用条件或存在严重安全陷患的，且不能按要求整改消除火灾隐患的，甲方有权立即终止与乙方就使用该房屋/场地所签订的合同，并要求乙方承担全部违约责任、经济赔偿责任。</w:t>
      </w:r>
    </w:p>
    <w:p w14:paraId="50E277B0"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4、若乙方未经甲方同意擅自将该房屋/场地转租、转让、转借，擅自改变该房屋/场地使用功能、建筑结构等以及超范围经营的，甲方有权立即终止与乙方就使用该房屋/场地所签订的合同，甲方有权追索乙方由于违约造成经济损失、违约责任和其他相关法律责任。</w:t>
      </w:r>
    </w:p>
    <w:p w14:paraId="1B168E41" w14:textId="5CE2A60B" w:rsidR="008049B4" w:rsidRPr="008F4714" w:rsidRDefault="008F4714" w:rsidP="008F4714">
      <w:pPr>
        <w:spacing w:line="276" w:lineRule="auto"/>
        <w:ind w:firstLineChars="200" w:firstLine="449"/>
        <w:rPr>
          <w:rFonts w:ascii="仿宋" w:eastAsia="仿宋" w:hAnsi="仿宋"/>
          <w:b/>
          <w:bCs/>
          <w:sz w:val="22"/>
          <w:szCs w:val="22"/>
        </w:rPr>
      </w:pPr>
      <w:r w:rsidRPr="008F4714">
        <w:rPr>
          <w:rFonts w:ascii="仿宋" w:eastAsia="仿宋" w:hAnsi="仿宋" w:hint="eastAsia"/>
          <w:b/>
          <w:bCs/>
          <w:sz w:val="22"/>
          <w:szCs w:val="22"/>
        </w:rPr>
        <w:t>第五条、</w:t>
      </w:r>
      <w:r w:rsidR="008049B4" w:rsidRPr="008F4714">
        <w:rPr>
          <w:rFonts w:ascii="仿宋" w:eastAsia="仿宋" w:hAnsi="仿宋" w:hint="eastAsia"/>
          <w:b/>
          <w:bCs/>
          <w:sz w:val="22"/>
          <w:szCs w:val="22"/>
        </w:rPr>
        <w:t>其他条款</w:t>
      </w:r>
    </w:p>
    <w:p w14:paraId="4B5C1BFE"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1、一旦发生火情，双方有义务及时报警，并积极组织补救。</w:t>
      </w:r>
    </w:p>
    <w:p w14:paraId="27AACAF2"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2、国家法律法规对出使用该房屋/场地有新的规定时，双方须及时签订补充协议或重新签订。</w:t>
      </w:r>
    </w:p>
    <w:p w14:paraId="5E38806D"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3、本协议书在该房屋/场地的使用期内有效。</w:t>
      </w:r>
    </w:p>
    <w:p w14:paraId="38A3BF9F" w14:textId="77777777" w:rsidR="008049B4" w:rsidRPr="008F4714" w:rsidRDefault="008049B4" w:rsidP="008F4714">
      <w:pPr>
        <w:tabs>
          <w:tab w:val="left" w:pos="709"/>
        </w:tabs>
        <w:spacing w:line="276" w:lineRule="auto"/>
        <w:ind w:firstLineChars="200" w:firstLine="440"/>
        <w:rPr>
          <w:rFonts w:ascii="仿宋" w:eastAsia="仿宋" w:hAnsi="仿宋"/>
          <w:sz w:val="22"/>
          <w:szCs w:val="22"/>
        </w:rPr>
      </w:pPr>
      <w:r w:rsidRPr="008F4714">
        <w:rPr>
          <w:rFonts w:ascii="仿宋" w:eastAsia="仿宋" w:hAnsi="仿宋" w:hint="eastAsia"/>
          <w:sz w:val="22"/>
          <w:szCs w:val="22"/>
        </w:rPr>
        <w:t>4、本协议作为甲、乙双方就该房屋/场地签订的使用协议的附件和有效组成部分，与该房屋/场地使用协议内容具有同等的经济和法律效力。</w:t>
      </w:r>
    </w:p>
    <w:p w14:paraId="7CFB116C" w14:textId="77777777" w:rsidR="008049B4" w:rsidRPr="008F4714" w:rsidRDefault="008049B4" w:rsidP="008F4714">
      <w:pPr>
        <w:spacing w:line="276" w:lineRule="auto"/>
        <w:ind w:firstLineChars="200" w:firstLine="440"/>
        <w:rPr>
          <w:rFonts w:ascii="仿宋" w:eastAsia="仿宋" w:hAnsi="仿宋"/>
          <w:sz w:val="22"/>
          <w:szCs w:val="22"/>
        </w:rPr>
      </w:pPr>
    </w:p>
    <w:p w14:paraId="732B7805" w14:textId="6120B0CB" w:rsidR="00146A03" w:rsidRDefault="008049B4" w:rsidP="008F4714">
      <w:pPr>
        <w:spacing w:line="276" w:lineRule="auto"/>
        <w:rPr>
          <w:rFonts w:ascii="仿宋" w:eastAsia="仿宋" w:hAnsi="仿宋"/>
          <w:sz w:val="22"/>
          <w:szCs w:val="22"/>
        </w:rPr>
      </w:pPr>
      <w:r w:rsidRPr="008F4714">
        <w:rPr>
          <w:rFonts w:ascii="仿宋" w:eastAsia="仿宋" w:hAnsi="仿宋" w:hint="eastAsia"/>
          <w:sz w:val="22"/>
          <w:szCs w:val="22"/>
        </w:rPr>
        <w:t>甲方(盖章):</w:t>
      </w:r>
      <w:r w:rsidR="00146A03" w:rsidRPr="00146A03">
        <w:rPr>
          <w:rFonts w:ascii="仿宋" w:eastAsia="仿宋" w:hAnsi="仿宋" w:hint="eastAsia"/>
          <w:sz w:val="22"/>
          <w:szCs w:val="22"/>
        </w:rPr>
        <w:t xml:space="preserve"> </w:t>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146A03" w:rsidRPr="008F4714">
        <w:rPr>
          <w:rFonts w:ascii="仿宋" w:eastAsia="仿宋" w:hAnsi="仿宋" w:hint="eastAsia"/>
          <w:sz w:val="22"/>
          <w:szCs w:val="22"/>
        </w:rPr>
        <w:t xml:space="preserve">乙方(盖章): </w:t>
      </w:r>
    </w:p>
    <w:p w14:paraId="46D85432" w14:textId="058FD13D" w:rsidR="008049B4" w:rsidRPr="008F4714" w:rsidRDefault="008F4714" w:rsidP="008F4714">
      <w:pPr>
        <w:spacing w:line="276" w:lineRule="auto"/>
        <w:rPr>
          <w:rFonts w:ascii="仿宋" w:eastAsia="仿宋" w:hAnsi="仿宋"/>
          <w:sz w:val="22"/>
          <w:szCs w:val="22"/>
        </w:rPr>
      </w:pPr>
      <w:r w:rsidRPr="008F4714">
        <w:rPr>
          <w:rFonts w:ascii="仿宋" w:eastAsia="仿宋" w:hAnsi="仿宋" w:hint="eastAsia"/>
          <w:sz w:val="22"/>
          <w:szCs w:val="22"/>
        </w:rPr>
        <w:t>上海幼狮文化传播有限公</w:t>
      </w:r>
      <w:r w:rsidR="005F76C1" w:rsidRPr="008F4714">
        <w:rPr>
          <w:rFonts w:ascii="仿宋" w:eastAsia="仿宋" w:hAnsi="仿宋" w:hint="eastAsia"/>
          <w:sz w:val="22"/>
          <w:szCs w:val="22"/>
        </w:rPr>
        <w:t>司</w:t>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146A03">
        <w:rPr>
          <w:rFonts w:ascii="仿宋" w:eastAsia="仿宋" w:hAnsi="仿宋"/>
          <w:sz w:val="22"/>
          <w:szCs w:val="22"/>
        </w:rPr>
        <w:tab/>
      </w:r>
      <w:r w:rsidR="00642D0F">
        <w:rPr>
          <w:rFonts w:ascii="仿宋" w:eastAsia="仿宋" w:hAnsi="仿宋" w:hint="eastAsia"/>
          <w:sz w:val="22"/>
          <w:szCs w:val="22"/>
        </w:rPr>
        <w:t>北京博源意嘉市场咨询有限公司</w:t>
      </w:r>
    </w:p>
    <w:p w14:paraId="039899AB" w14:textId="169D5966" w:rsidR="008F4714" w:rsidRPr="008F4714" w:rsidRDefault="008049B4" w:rsidP="008F4714">
      <w:pPr>
        <w:spacing w:line="276" w:lineRule="auto"/>
        <w:rPr>
          <w:rFonts w:ascii="仿宋" w:eastAsia="仿宋" w:hAnsi="仿宋"/>
          <w:sz w:val="22"/>
          <w:szCs w:val="22"/>
        </w:rPr>
      </w:pPr>
      <w:r w:rsidRPr="008F4714">
        <w:rPr>
          <w:rFonts w:ascii="仿宋" w:eastAsia="仿宋" w:hAnsi="仿宋" w:hint="eastAsia"/>
          <w:sz w:val="22"/>
          <w:szCs w:val="22"/>
        </w:rPr>
        <w:t xml:space="preserve">时间：                                 </w:t>
      </w:r>
      <w:r w:rsidR="008F4714" w:rsidRPr="008F4714">
        <w:rPr>
          <w:rFonts w:ascii="仿宋" w:eastAsia="仿宋" w:hAnsi="仿宋" w:hint="eastAsia"/>
          <w:sz w:val="22"/>
          <w:szCs w:val="22"/>
        </w:rPr>
        <w:tab/>
        <w:t>时间</w:t>
      </w:r>
      <w:r w:rsidR="008F4714">
        <w:rPr>
          <w:rFonts w:ascii="仿宋" w:eastAsia="仿宋" w:hAnsi="仿宋" w:hint="eastAsia"/>
          <w:sz w:val="22"/>
          <w:szCs w:val="22"/>
        </w:rPr>
        <w:t>：</w:t>
      </w:r>
      <w:r w:rsidR="008F4714" w:rsidRPr="008F4714">
        <w:rPr>
          <w:rFonts w:ascii="仿宋" w:eastAsia="仿宋" w:hAnsi="仿宋" w:hint="eastAsia"/>
          <w:sz w:val="22"/>
          <w:szCs w:val="22"/>
        </w:rPr>
        <w:t xml:space="preserve"> </w:t>
      </w:r>
      <w:r w:rsidR="00642D0F">
        <w:rPr>
          <w:rFonts w:ascii="仿宋" w:eastAsia="仿宋" w:hAnsi="仿宋"/>
          <w:sz w:val="22"/>
          <w:szCs w:val="22"/>
        </w:rPr>
        <w:t>2024.04.02</w:t>
      </w:r>
    </w:p>
    <w:sectPr w:rsidR="008F4714" w:rsidRPr="008F47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2520" w14:textId="77777777" w:rsidR="00D7464B" w:rsidRDefault="00D7464B">
      <w:r>
        <w:separator/>
      </w:r>
    </w:p>
  </w:endnote>
  <w:endnote w:type="continuationSeparator" w:id="0">
    <w:p w14:paraId="2BB1742A" w14:textId="77777777" w:rsidR="00D7464B" w:rsidRDefault="00D7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28321"/>
    </w:sdtPr>
    <w:sdtContent>
      <w:p w14:paraId="161BD492" w14:textId="77777777" w:rsidR="00457F24" w:rsidRDefault="00000000">
        <w:pPr>
          <w:pStyle w:val="ae"/>
          <w:jc w:val="center"/>
        </w:pPr>
        <w:r>
          <w:fldChar w:fldCharType="begin"/>
        </w:r>
        <w:r>
          <w:instrText>PAGE   \* MERGEFORMAT</w:instrText>
        </w:r>
        <w:r>
          <w:fldChar w:fldCharType="separate"/>
        </w:r>
        <w:r>
          <w:rPr>
            <w:lang w:val="zh-CN"/>
          </w:rPr>
          <w:t>2</w:t>
        </w:r>
        <w:r>
          <w:fldChar w:fldCharType="end"/>
        </w:r>
      </w:p>
    </w:sdtContent>
  </w:sdt>
  <w:p w14:paraId="44B6ACAC" w14:textId="77777777" w:rsidR="00457F24" w:rsidRDefault="00457F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76FC" w14:textId="77777777" w:rsidR="00D7464B" w:rsidRDefault="00D7464B">
      <w:r>
        <w:separator/>
      </w:r>
    </w:p>
  </w:footnote>
  <w:footnote w:type="continuationSeparator" w:id="0">
    <w:p w14:paraId="0F9A6857" w14:textId="77777777" w:rsidR="00D7464B" w:rsidRDefault="00D7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55B56"/>
    <w:multiLevelType w:val="singleLevel"/>
    <w:tmpl w:val="81855B56"/>
    <w:lvl w:ilvl="0">
      <w:start w:val="1"/>
      <w:numFmt w:val="decimal"/>
      <w:suff w:val="nothing"/>
      <w:lvlText w:val="（%1）"/>
      <w:lvlJc w:val="left"/>
    </w:lvl>
  </w:abstractNum>
  <w:abstractNum w:abstractNumId="1" w15:restartNumberingAfterBreak="0">
    <w:nsid w:val="A09B9337"/>
    <w:multiLevelType w:val="singleLevel"/>
    <w:tmpl w:val="A09B9337"/>
    <w:lvl w:ilvl="0">
      <w:start w:val="1"/>
      <w:numFmt w:val="decimal"/>
      <w:suff w:val="nothing"/>
      <w:lvlText w:val="（%1）"/>
      <w:lvlJc w:val="left"/>
      <w:pPr>
        <w:ind w:left="480"/>
      </w:pPr>
    </w:lvl>
  </w:abstractNum>
  <w:abstractNum w:abstractNumId="2" w15:restartNumberingAfterBreak="0">
    <w:nsid w:val="EA5296BB"/>
    <w:multiLevelType w:val="singleLevel"/>
    <w:tmpl w:val="EA5296BB"/>
    <w:lvl w:ilvl="0">
      <w:start w:val="1"/>
      <w:numFmt w:val="decimal"/>
      <w:suff w:val="nothing"/>
      <w:lvlText w:val="（%1）"/>
      <w:lvlJc w:val="left"/>
    </w:lvl>
  </w:abstractNum>
  <w:abstractNum w:abstractNumId="3" w15:restartNumberingAfterBreak="0">
    <w:nsid w:val="01DE3F26"/>
    <w:multiLevelType w:val="multilevel"/>
    <w:tmpl w:val="01DE3F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48D6C83"/>
    <w:multiLevelType w:val="multilevel"/>
    <w:tmpl w:val="248D6C83"/>
    <w:lvl w:ilvl="0">
      <w:start w:val="1"/>
      <w:numFmt w:val="chineseCountingThousand"/>
      <w:lvlText w:val="%1、"/>
      <w:lvlJc w:val="left"/>
      <w:pPr>
        <w:tabs>
          <w:tab w:val="left" w:pos="360"/>
        </w:tabs>
        <w:ind w:left="170" w:hanging="170"/>
      </w:pPr>
      <w:rPr>
        <w:rFonts w:hint="default"/>
        <w:b/>
      </w:rPr>
    </w:lvl>
    <w:lvl w:ilvl="1">
      <w:start w:val="2"/>
      <w:numFmt w:val="decimal"/>
      <w:isLgl/>
      <w:lvlText w:val="%1.%2"/>
      <w:lvlJc w:val="left"/>
      <w:pPr>
        <w:tabs>
          <w:tab w:val="left" w:pos="530"/>
        </w:tabs>
        <w:ind w:left="340" w:hanging="170"/>
      </w:pPr>
      <w:rPr>
        <w:rFonts w:hint="default"/>
      </w:rPr>
    </w:lvl>
    <w:lvl w:ilvl="2">
      <w:start w:val="1"/>
      <w:numFmt w:val="decimal"/>
      <w:isLgl/>
      <w:lvlText w:val="%1.%2.%3"/>
      <w:lvlJc w:val="left"/>
      <w:pPr>
        <w:tabs>
          <w:tab w:val="left" w:pos="700"/>
        </w:tabs>
        <w:ind w:left="510" w:hanging="170"/>
      </w:pPr>
      <w:rPr>
        <w:rFonts w:hint="default"/>
      </w:rPr>
    </w:lvl>
    <w:lvl w:ilvl="3">
      <w:start w:val="1"/>
      <w:numFmt w:val="decimal"/>
      <w:isLgl/>
      <w:lvlText w:val="%1.%2.%3.%4"/>
      <w:lvlJc w:val="left"/>
      <w:pPr>
        <w:tabs>
          <w:tab w:val="left" w:pos="870"/>
        </w:tabs>
        <w:ind w:left="680" w:hanging="170"/>
      </w:pPr>
      <w:rPr>
        <w:rFonts w:hint="default"/>
      </w:rPr>
    </w:lvl>
    <w:lvl w:ilvl="4">
      <w:start w:val="1"/>
      <w:numFmt w:val="decimal"/>
      <w:isLgl/>
      <w:lvlText w:val="%1.%2.%3.%4.%5"/>
      <w:lvlJc w:val="left"/>
      <w:pPr>
        <w:tabs>
          <w:tab w:val="left" w:pos="1040"/>
        </w:tabs>
        <w:ind w:left="850" w:hanging="170"/>
      </w:pPr>
      <w:rPr>
        <w:rFonts w:hint="default"/>
      </w:rPr>
    </w:lvl>
    <w:lvl w:ilvl="5">
      <w:start w:val="1"/>
      <w:numFmt w:val="decimal"/>
      <w:isLgl/>
      <w:lvlText w:val="%1.%2.%3.%4.%5.%6"/>
      <w:lvlJc w:val="left"/>
      <w:pPr>
        <w:tabs>
          <w:tab w:val="left" w:pos="1210"/>
        </w:tabs>
        <w:ind w:left="1020" w:hanging="170"/>
      </w:pPr>
      <w:rPr>
        <w:rFonts w:hint="default"/>
      </w:rPr>
    </w:lvl>
    <w:lvl w:ilvl="6">
      <w:start w:val="1"/>
      <w:numFmt w:val="decimal"/>
      <w:isLgl/>
      <w:lvlText w:val="%1.%2.%3.%4.%5.%6.%7"/>
      <w:lvlJc w:val="left"/>
      <w:pPr>
        <w:tabs>
          <w:tab w:val="left" w:pos="1380"/>
        </w:tabs>
        <w:ind w:left="1190" w:hanging="170"/>
      </w:pPr>
      <w:rPr>
        <w:rFonts w:hint="default"/>
      </w:rPr>
    </w:lvl>
    <w:lvl w:ilvl="7">
      <w:start w:val="1"/>
      <w:numFmt w:val="decimal"/>
      <w:isLgl/>
      <w:lvlText w:val="%1.%2.%3.%4.%5.%6.%7.%8"/>
      <w:lvlJc w:val="left"/>
      <w:pPr>
        <w:tabs>
          <w:tab w:val="left" w:pos="1550"/>
        </w:tabs>
        <w:ind w:left="1360" w:hanging="170"/>
      </w:pPr>
      <w:rPr>
        <w:rFonts w:hint="default"/>
      </w:rPr>
    </w:lvl>
    <w:lvl w:ilvl="8">
      <w:start w:val="1"/>
      <w:numFmt w:val="decimal"/>
      <w:isLgl/>
      <w:lvlText w:val="%1.%2.%3.%4.%5.%6.%7.%8.%9"/>
      <w:lvlJc w:val="left"/>
      <w:pPr>
        <w:tabs>
          <w:tab w:val="left" w:pos="1720"/>
        </w:tabs>
        <w:ind w:left="1530" w:hanging="170"/>
      </w:pPr>
      <w:rPr>
        <w:rFonts w:hint="default"/>
      </w:rPr>
    </w:lvl>
  </w:abstractNum>
  <w:abstractNum w:abstractNumId="5" w15:restartNumberingAfterBreak="0">
    <w:nsid w:val="56FA0A3D"/>
    <w:multiLevelType w:val="multilevel"/>
    <w:tmpl w:val="56FA0A3D"/>
    <w:lvl w:ilvl="0">
      <w:start w:val="1"/>
      <w:numFmt w:val="chineseCountingThousand"/>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2BF7FB9"/>
    <w:multiLevelType w:val="multilevel"/>
    <w:tmpl w:val="62BF7FB9"/>
    <w:lvl w:ilvl="0">
      <w:start w:val="2"/>
      <w:numFmt w:val="decimal"/>
      <w:lvlText w:val="%1"/>
      <w:lvlJc w:val="left"/>
      <w:pPr>
        <w:tabs>
          <w:tab w:val="left" w:pos="360"/>
        </w:tabs>
        <w:ind w:left="360" w:hanging="360"/>
      </w:pPr>
      <w:rPr>
        <w:rFonts w:hAnsi="Verdana" w:hint="default"/>
      </w:rPr>
    </w:lvl>
    <w:lvl w:ilvl="1">
      <w:start w:val="1"/>
      <w:numFmt w:val="chineseCountingThousand"/>
      <w:lvlText w:val="(%2)"/>
      <w:lvlJc w:val="left"/>
      <w:pPr>
        <w:ind w:left="780" w:hanging="420"/>
      </w:pPr>
    </w:lvl>
    <w:lvl w:ilvl="2">
      <w:start w:val="1"/>
      <w:numFmt w:val="decimal"/>
      <w:lvlText w:val="%1.%2.%3"/>
      <w:lvlJc w:val="left"/>
      <w:pPr>
        <w:tabs>
          <w:tab w:val="left" w:pos="720"/>
        </w:tabs>
        <w:ind w:left="720" w:hanging="720"/>
      </w:pPr>
      <w:rPr>
        <w:rFonts w:hAnsi="Verdana" w:hint="default"/>
      </w:rPr>
    </w:lvl>
    <w:lvl w:ilvl="3">
      <w:start w:val="1"/>
      <w:numFmt w:val="decimal"/>
      <w:lvlText w:val="%1.%2.%3.%4"/>
      <w:lvlJc w:val="left"/>
      <w:pPr>
        <w:tabs>
          <w:tab w:val="left" w:pos="1080"/>
        </w:tabs>
        <w:ind w:left="1080" w:hanging="1080"/>
      </w:pPr>
      <w:rPr>
        <w:rFonts w:hAnsi="Verdana" w:hint="default"/>
      </w:rPr>
    </w:lvl>
    <w:lvl w:ilvl="4">
      <w:start w:val="1"/>
      <w:numFmt w:val="decimal"/>
      <w:lvlText w:val="%1.%2.%3.%4.%5"/>
      <w:lvlJc w:val="left"/>
      <w:pPr>
        <w:tabs>
          <w:tab w:val="left" w:pos="1440"/>
        </w:tabs>
        <w:ind w:left="1440" w:hanging="1440"/>
      </w:pPr>
      <w:rPr>
        <w:rFonts w:hAnsi="Verdana" w:hint="default"/>
      </w:rPr>
    </w:lvl>
    <w:lvl w:ilvl="5">
      <w:start w:val="1"/>
      <w:numFmt w:val="decimal"/>
      <w:lvlText w:val="%1.%2.%3.%4.%5.%6"/>
      <w:lvlJc w:val="left"/>
      <w:pPr>
        <w:tabs>
          <w:tab w:val="left" w:pos="1440"/>
        </w:tabs>
        <w:ind w:left="1440" w:hanging="1440"/>
      </w:pPr>
      <w:rPr>
        <w:rFonts w:hAnsi="Verdana" w:hint="default"/>
      </w:rPr>
    </w:lvl>
    <w:lvl w:ilvl="6">
      <w:start w:val="1"/>
      <w:numFmt w:val="decimal"/>
      <w:lvlText w:val="%1.%2.%3.%4.%5.%6.%7"/>
      <w:lvlJc w:val="left"/>
      <w:pPr>
        <w:tabs>
          <w:tab w:val="left" w:pos="1800"/>
        </w:tabs>
        <w:ind w:left="1800" w:hanging="1800"/>
      </w:pPr>
      <w:rPr>
        <w:rFonts w:hAnsi="Verdana" w:hint="default"/>
      </w:rPr>
    </w:lvl>
    <w:lvl w:ilvl="7">
      <w:start w:val="1"/>
      <w:numFmt w:val="decimal"/>
      <w:lvlText w:val="%1.%2.%3.%4.%5.%6.%7.%8"/>
      <w:lvlJc w:val="left"/>
      <w:pPr>
        <w:tabs>
          <w:tab w:val="left" w:pos="2160"/>
        </w:tabs>
        <w:ind w:left="2160" w:hanging="2160"/>
      </w:pPr>
      <w:rPr>
        <w:rFonts w:hAnsi="Verdana" w:hint="default"/>
      </w:rPr>
    </w:lvl>
    <w:lvl w:ilvl="8">
      <w:start w:val="1"/>
      <w:numFmt w:val="decimal"/>
      <w:lvlText w:val="%1.%2.%3.%4.%5.%6.%7.%8.%9"/>
      <w:lvlJc w:val="left"/>
      <w:pPr>
        <w:tabs>
          <w:tab w:val="left" w:pos="2160"/>
        </w:tabs>
        <w:ind w:left="2160" w:hanging="2160"/>
      </w:pPr>
      <w:rPr>
        <w:rFonts w:hAnsi="Verdana" w:hint="default"/>
      </w:rPr>
    </w:lvl>
  </w:abstractNum>
  <w:abstractNum w:abstractNumId="7" w15:restartNumberingAfterBreak="0">
    <w:nsid w:val="713D1286"/>
    <w:multiLevelType w:val="multilevel"/>
    <w:tmpl w:val="713D1286"/>
    <w:lvl w:ilvl="0">
      <w:start w:val="1"/>
      <w:numFmt w:val="japaneseCounting"/>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B33490"/>
    <w:multiLevelType w:val="multilevel"/>
    <w:tmpl w:val="7CB33490"/>
    <w:lvl w:ilvl="0">
      <w:start w:val="3"/>
      <w:numFmt w:val="decimal"/>
      <w:lvlText w:val="%1"/>
      <w:lvlJc w:val="left"/>
      <w:pPr>
        <w:tabs>
          <w:tab w:val="left" w:pos="360"/>
        </w:tabs>
        <w:ind w:left="360" w:hanging="360"/>
      </w:pPr>
      <w:rPr>
        <w:rFonts w:hint="default"/>
      </w:rPr>
    </w:lvl>
    <w:lvl w:ilvl="1">
      <w:start w:val="1"/>
      <w:numFmt w:val="chineseCountingThousand"/>
      <w:lvlText w:val="(%2)"/>
      <w:lvlJc w:val="left"/>
      <w:pPr>
        <w:ind w:left="780" w:hanging="420"/>
      </w:p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num w:numId="1" w16cid:durableId="483590438">
    <w:abstractNumId w:val="6"/>
  </w:num>
  <w:num w:numId="2" w16cid:durableId="1242566732">
    <w:abstractNumId w:val="3"/>
  </w:num>
  <w:num w:numId="3" w16cid:durableId="1052390336">
    <w:abstractNumId w:val="2"/>
  </w:num>
  <w:num w:numId="4" w16cid:durableId="1939747785">
    <w:abstractNumId w:val="1"/>
  </w:num>
  <w:num w:numId="5" w16cid:durableId="2115399371">
    <w:abstractNumId w:val="0"/>
  </w:num>
  <w:num w:numId="6" w16cid:durableId="1975520812">
    <w:abstractNumId w:val="5"/>
  </w:num>
  <w:num w:numId="7" w16cid:durableId="879633181">
    <w:abstractNumId w:val="4"/>
  </w:num>
  <w:num w:numId="8" w16cid:durableId="1827474793">
    <w:abstractNumId w:val="8"/>
  </w:num>
  <w:num w:numId="9" w16cid:durableId="1447500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99"/>
    <w:rsid w:val="000F05A2"/>
    <w:rsid w:val="00146A03"/>
    <w:rsid w:val="001F2999"/>
    <w:rsid w:val="002A5915"/>
    <w:rsid w:val="003E26B7"/>
    <w:rsid w:val="003F7C7A"/>
    <w:rsid w:val="0043554C"/>
    <w:rsid w:val="00454B7A"/>
    <w:rsid w:val="00457F24"/>
    <w:rsid w:val="005F76C1"/>
    <w:rsid w:val="00642D0F"/>
    <w:rsid w:val="0076589C"/>
    <w:rsid w:val="008005D6"/>
    <w:rsid w:val="008049B4"/>
    <w:rsid w:val="008F4714"/>
    <w:rsid w:val="009A02F5"/>
    <w:rsid w:val="009E7A11"/>
    <w:rsid w:val="00A275FE"/>
    <w:rsid w:val="00B862D0"/>
    <w:rsid w:val="00BD0416"/>
    <w:rsid w:val="00C15689"/>
    <w:rsid w:val="00D42EEC"/>
    <w:rsid w:val="00D7464B"/>
    <w:rsid w:val="00DB46EC"/>
    <w:rsid w:val="00DC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3765"/>
  <w15:chartTrackingRefBased/>
  <w15:docId w15:val="{9EC107F5-72FA-9F4F-A99C-9A9B22F8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299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F299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F299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F299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F299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F299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F299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99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F29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99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F299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F299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F2999"/>
    <w:rPr>
      <w:rFonts w:cstheme="majorBidi"/>
      <w:color w:val="0F4761" w:themeColor="accent1" w:themeShade="BF"/>
      <w:sz w:val="28"/>
      <w:szCs w:val="28"/>
    </w:rPr>
  </w:style>
  <w:style w:type="character" w:customStyle="1" w:styleId="50">
    <w:name w:val="标题 5 字符"/>
    <w:basedOn w:val="a0"/>
    <w:link w:val="5"/>
    <w:uiPriority w:val="9"/>
    <w:semiHidden/>
    <w:rsid w:val="001F2999"/>
    <w:rPr>
      <w:rFonts w:cstheme="majorBidi"/>
      <w:color w:val="0F4761" w:themeColor="accent1" w:themeShade="BF"/>
      <w:sz w:val="24"/>
    </w:rPr>
  </w:style>
  <w:style w:type="character" w:customStyle="1" w:styleId="60">
    <w:name w:val="标题 6 字符"/>
    <w:basedOn w:val="a0"/>
    <w:link w:val="6"/>
    <w:uiPriority w:val="9"/>
    <w:semiHidden/>
    <w:rsid w:val="001F2999"/>
    <w:rPr>
      <w:rFonts w:cstheme="majorBidi"/>
      <w:b/>
      <w:bCs/>
      <w:color w:val="0F4761" w:themeColor="accent1" w:themeShade="BF"/>
    </w:rPr>
  </w:style>
  <w:style w:type="character" w:customStyle="1" w:styleId="70">
    <w:name w:val="标题 7 字符"/>
    <w:basedOn w:val="a0"/>
    <w:link w:val="7"/>
    <w:uiPriority w:val="9"/>
    <w:semiHidden/>
    <w:rsid w:val="001F2999"/>
    <w:rPr>
      <w:rFonts w:cstheme="majorBidi"/>
      <w:b/>
      <w:bCs/>
      <w:color w:val="595959" w:themeColor="text1" w:themeTint="A6"/>
    </w:rPr>
  </w:style>
  <w:style w:type="character" w:customStyle="1" w:styleId="80">
    <w:name w:val="标题 8 字符"/>
    <w:basedOn w:val="a0"/>
    <w:link w:val="8"/>
    <w:uiPriority w:val="9"/>
    <w:semiHidden/>
    <w:rsid w:val="001F2999"/>
    <w:rPr>
      <w:rFonts w:cstheme="majorBidi"/>
      <w:color w:val="595959" w:themeColor="text1" w:themeTint="A6"/>
    </w:rPr>
  </w:style>
  <w:style w:type="character" w:customStyle="1" w:styleId="90">
    <w:name w:val="标题 9 字符"/>
    <w:basedOn w:val="a0"/>
    <w:link w:val="9"/>
    <w:uiPriority w:val="9"/>
    <w:semiHidden/>
    <w:rsid w:val="001F2999"/>
    <w:rPr>
      <w:rFonts w:eastAsiaTheme="majorEastAsia" w:cstheme="majorBidi"/>
      <w:color w:val="595959" w:themeColor="text1" w:themeTint="A6"/>
    </w:rPr>
  </w:style>
  <w:style w:type="paragraph" w:styleId="a3">
    <w:name w:val="Title"/>
    <w:basedOn w:val="a"/>
    <w:next w:val="a"/>
    <w:link w:val="a4"/>
    <w:uiPriority w:val="10"/>
    <w:qFormat/>
    <w:rsid w:val="001F29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9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999"/>
    <w:pPr>
      <w:spacing w:before="160" w:after="160"/>
      <w:jc w:val="center"/>
    </w:pPr>
    <w:rPr>
      <w:i/>
      <w:iCs/>
      <w:color w:val="404040" w:themeColor="text1" w:themeTint="BF"/>
    </w:rPr>
  </w:style>
  <w:style w:type="character" w:customStyle="1" w:styleId="a8">
    <w:name w:val="引用 字符"/>
    <w:basedOn w:val="a0"/>
    <w:link w:val="a7"/>
    <w:uiPriority w:val="29"/>
    <w:rsid w:val="001F2999"/>
    <w:rPr>
      <w:i/>
      <w:iCs/>
      <w:color w:val="404040" w:themeColor="text1" w:themeTint="BF"/>
    </w:rPr>
  </w:style>
  <w:style w:type="paragraph" w:styleId="a9">
    <w:name w:val="List Paragraph"/>
    <w:basedOn w:val="a"/>
    <w:uiPriority w:val="34"/>
    <w:qFormat/>
    <w:rsid w:val="001F2999"/>
    <w:pPr>
      <w:ind w:left="720"/>
      <w:contextualSpacing/>
    </w:pPr>
  </w:style>
  <w:style w:type="character" w:styleId="aa">
    <w:name w:val="Intense Emphasis"/>
    <w:basedOn w:val="a0"/>
    <w:uiPriority w:val="21"/>
    <w:qFormat/>
    <w:rsid w:val="001F2999"/>
    <w:rPr>
      <w:i/>
      <w:iCs/>
      <w:color w:val="0F4761" w:themeColor="accent1" w:themeShade="BF"/>
    </w:rPr>
  </w:style>
  <w:style w:type="paragraph" w:styleId="ab">
    <w:name w:val="Intense Quote"/>
    <w:basedOn w:val="a"/>
    <w:next w:val="a"/>
    <w:link w:val="ac"/>
    <w:uiPriority w:val="30"/>
    <w:qFormat/>
    <w:rsid w:val="001F2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F2999"/>
    <w:rPr>
      <w:i/>
      <w:iCs/>
      <w:color w:val="0F4761" w:themeColor="accent1" w:themeShade="BF"/>
    </w:rPr>
  </w:style>
  <w:style w:type="character" w:styleId="ad">
    <w:name w:val="Intense Reference"/>
    <w:basedOn w:val="a0"/>
    <w:uiPriority w:val="32"/>
    <w:qFormat/>
    <w:rsid w:val="001F2999"/>
    <w:rPr>
      <w:b/>
      <w:bCs/>
      <w:smallCaps/>
      <w:color w:val="0F4761" w:themeColor="accent1" w:themeShade="BF"/>
      <w:spacing w:val="5"/>
    </w:rPr>
  </w:style>
  <w:style w:type="paragraph" w:styleId="ae">
    <w:name w:val="footer"/>
    <w:basedOn w:val="a"/>
    <w:link w:val="af"/>
    <w:uiPriority w:val="99"/>
    <w:unhideWhenUsed/>
    <w:qFormat/>
    <w:rsid w:val="00B862D0"/>
    <w:pPr>
      <w:tabs>
        <w:tab w:val="center" w:pos="4153"/>
        <w:tab w:val="right" w:pos="8306"/>
      </w:tabs>
      <w:snapToGrid w:val="0"/>
      <w:jc w:val="left"/>
    </w:pPr>
    <w:rPr>
      <w:rFonts w:ascii="Times New Roman" w:eastAsia="宋体" w:hAnsi="Times New Roman" w:cs="Times New Roman"/>
      <w:sz w:val="18"/>
      <w:szCs w:val="18"/>
    </w:rPr>
  </w:style>
  <w:style w:type="character" w:customStyle="1" w:styleId="af">
    <w:name w:val="页脚 字符"/>
    <w:basedOn w:val="a0"/>
    <w:link w:val="ae"/>
    <w:uiPriority w:val="99"/>
    <w:qFormat/>
    <w:rsid w:val="00B862D0"/>
    <w:rPr>
      <w:rFonts w:ascii="Times New Roman" w:eastAsia="宋体" w:hAnsi="Times New Roman" w:cs="Times New Roman"/>
      <w:sz w:val="18"/>
      <w:szCs w:val="18"/>
    </w:rPr>
  </w:style>
  <w:style w:type="paragraph" w:styleId="af0">
    <w:name w:val="Normal (Web)"/>
    <w:basedOn w:val="a"/>
    <w:autoRedefine/>
    <w:qFormat/>
    <w:rsid w:val="00B862D0"/>
    <w:pPr>
      <w:widowControl/>
      <w:spacing w:before="100" w:beforeAutospacing="1" w:after="100" w:afterAutospacing="1"/>
      <w:jc w:val="left"/>
    </w:pPr>
    <w:rPr>
      <w:rFonts w:ascii="宋体" w:eastAsia="宋体" w:hAnsi="宋体" w:cs="宋体"/>
      <w:color w:val="000000"/>
      <w:kern w:val="0"/>
      <w:sz w:val="24"/>
    </w:rPr>
  </w:style>
  <w:style w:type="paragraph" w:styleId="af1">
    <w:name w:val="header"/>
    <w:basedOn w:val="a"/>
    <w:link w:val="af2"/>
    <w:uiPriority w:val="99"/>
    <w:unhideWhenUsed/>
    <w:rsid w:val="008F4714"/>
    <w:pPr>
      <w:tabs>
        <w:tab w:val="center" w:pos="4153"/>
        <w:tab w:val="right" w:pos="8306"/>
      </w:tabs>
      <w:snapToGrid w:val="0"/>
      <w:jc w:val="center"/>
    </w:pPr>
    <w:rPr>
      <w:sz w:val="18"/>
      <w:szCs w:val="18"/>
    </w:rPr>
  </w:style>
  <w:style w:type="character" w:customStyle="1" w:styleId="af2">
    <w:name w:val="页眉 字符"/>
    <w:basedOn w:val="a0"/>
    <w:link w:val="af1"/>
    <w:uiPriority w:val="99"/>
    <w:rsid w:val="008F47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A40704</dc:creator>
  <cp:keywords/>
  <dc:description/>
  <cp:lastModifiedBy>J R</cp:lastModifiedBy>
  <cp:revision>3</cp:revision>
  <dcterms:created xsi:type="dcterms:W3CDTF">2024-04-02T02:31:00Z</dcterms:created>
  <dcterms:modified xsi:type="dcterms:W3CDTF">2024-04-02T02:32:00Z</dcterms:modified>
</cp:coreProperties>
</file>